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C09ED" w14:textId="77777777" w:rsidR="009F24AA" w:rsidRPr="009F24AA" w:rsidRDefault="009F24AA" w:rsidP="009F24AA">
      <w:pPr>
        <w:pStyle w:val="Titre1"/>
        <w:rPr>
          <w:rFonts w:ascii="Arial" w:hAnsi="Arial" w:cs="Arial"/>
          <w:sz w:val="32"/>
          <w:szCs w:val="32"/>
        </w:rPr>
      </w:pPr>
      <w:bookmarkStart w:id="0" w:name="_Toc211505392"/>
      <w:bookmarkStart w:id="1" w:name="_Toc211962113"/>
      <w:r w:rsidRPr="009F24AA">
        <w:rPr>
          <w:rFonts w:ascii="Arial" w:hAnsi="Arial" w:cs="Arial"/>
          <w:sz w:val="32"/>
          <w:szCs w:val="32"/>
        </w:rPr>
        <w:t>Proposition d’amendement de la FAS et UNAFO : compensation de la part d’Action logement et abondement du Fonds national des aides à la pierre (FNAP)</w:t>
      </w:r>
      <w:bookmarkEnd w:id="0"/>
      <w:bookmarkEnd w:id="1"/>
    </w:p>
    <w:p w14:paraId="1C55AD47" w14:textId="77777777" w:rsidR="009F24AA" w:rsidRPr="00410314" w:rsidRDefault="009F24AA" w:rsidP="009F24AA">
      <w:pPr>
        <w:rPr>
          <w:rFonts w:ascii="Arial" w:eastAsia="Calibri" w:hAnsi="Arial" w:cs="Arial"/>
          <w:b/>
          <w:bCs/>
          <w:color w:val="000000" w:themeColor="text1"/>
        </w:rPr>
      </w:pPr>
    </w:p>
    <w:p w14:paraId="1DE55104" w14:textId="77777777" w:rsidR="009F24AA" w:rsidRPr="00F6698D" w:rsidRDefault="009F24AA" w:rsidP="009F24AA">
      <w:pPr>
        <w:jc w:val="center"/>
        <w:rPr>
          <w:rFonts w:ascii="Arial" w:eastAsia="Arial" w:hAnsi="Arial" w:cs="Arial"/>
          <w:b/>
          <w:bCs/>
          <w:sz w:val="24"/>
          <w:szCs w:val="24"/>
        </w:rPr>
      </w:pPr>
      <w:r w:rsidRPr="73A8AA99">
        <w:rPr>
          <w:rFonts w:ascii="Arial" w:eastAsia="Arial" w:hAnsi="Arial" w:cs="Arial"/>
          <w:b/>
          <w:bCs/>
          <w:sz w:val="24"/>
          <w:szCs w:val="24"/>
        </w:rPr>
        <w:t xml:space="preserve">ARTICLE </w:t>
      </w:r>
      <w:r>
        <w:rPr>
          <w:rFonts w:ascii="Arial" w:eastAsia="Arial" w:hAnsi="Arial" w:cs="Arial"/>
          <w:b/>
          <w:bCs/>
          <w:sz w:val="24"/>
          <w:szCs w:val="24"/>
        </w:rPr>
        <w:t>42</w:t>
      </w:r>
    </w:p>
    <w:p w14:paraId="0161C03A" w14:textId="77777777" w:rsidR="009F24AA" w:rsidRPr="00F6698D" w:rsidRDefault="009F24AA" w:rsidP="009F24AA">
      <w:pPr>
        <w:jc w:val="center"/>
        <w:rPr>
          <w:rFonts w:ascii="Arial" w:eastAsia="Arial" w:hAnsi="Arial" w:cs="Arial"/>
          <w:b/>
          <w:bCs/>
          <w:sz w:val="24"/>
          <w:szCs w:val="24"/>
        </w:rPr>
      </w:pPr>
      <w:r w:rsidRPr="73A8AA99">
        <w:rPr>
          <w:rFonts w:ascii="Arial" w:eastAsia="Arial" w:hAnsi="Arial" w:cs="Arial"/>
          <w:b/>
          <w:bCs/>
          <w:sz w:val="24"/>
          <w:szCs w:val="24"/>
        </w:rPr>
        <w:t>ÉTAT B</w:t>
      </w:r>
    </w:p>
    <w:p w14:paraId="1E182646" w14:textId="77777777" w:rsidR="009F24AA" w:rsidRPr="00F6698D" w:rsidRDefault="009F24AA" w:rsidP="009F24AA">
      <w:pPr>
        <w:spacing w:before="6"/>
        <w:jc w:val="center"/>
        <w:rPr>
          <w:rFonts w:ascii="Arial" w:eastAsia="Arial" w:hAnsi="Arial" w:cs="Arial"/>
          <w:b/>
          <w:bCs/>
          <w:sz w:val="24"/>
          <w:szCs w:val="24"/>
        </w:rPr>
      </w:pPr>
      <w:r w:rsidRPr="73A8AA99">
        <w:rPr>
          <w:rFonts w:ascii="Arial" w:eastAsia="Arial" w:hAnsi="Arial" w:cs="Arial"/>
          <w:b/>
          <w:bCs/>
          <w:sz w:val="24"/>
          <w:szCs w:val="24"/>
        </w:rPr>
        <w:t>Mission « Cohésion des territoires »</w:t>
      </w:r>
    </w:p>
    <w:p w14:paraId="1F80FD8F" w14:textId="77777777" w:rsidR="009F24AA" w:rsidRPr="00410314" w:rsidRDefault="009F24AA" w:rsidP="009F24AA">
      <w:pPr>
        <w:rPr>
          <w:rFonts w:ascii="Arial" w:hAnsi="Arial" w:cs="Arial"/>
        </w:rPr>
      </w:pPr>
    </w:p>
    <w:p w14:paraId="328C29C9" w14:textId="77777777" w:rsidR="009F24AA" w:rsidRPr="00410314" w:rsidRDefault="009F24AA" w:rsidP="009F24AA">
      <w:pPr>
        <w:rPr>
          <w:rFonts w:ascii="Arial" w:hAnsi="Arial" w:cs="Arial"/>
          <w:color w:val="000000" w:themeColor="text1"/>
        </w:rPr>
      </w:pPr>
      <w:r w:rsidRPr="00410314">
        <w:rPr>
          <w:rFonts w:ascii="Arial" w:hAnsi="Arial" w:cs="Arial"/>
          <w:color w:val="000000" w:themeColor="text1"/>
        </w:rPr>
        <w:t>Modifier ainsi les autorisations d'engagement et les crédits de paiement :</w:t>
      </w:r>
    </w:p>
    <w:p w14:paraId="462BC326" w14:textId="77777777" w:rsidR="009F24AA" w:rsidRPr="00410314" w:rsidRDefault="009F24AA" w:rsidP="009F24AA">
      <w:pPr>
        <w:jc w:val="right"/>
        <w:rPr>
          <w:rFonts w:ascii="Arial" w:hAnsi="Arial" w:cs="Arial"/>
          <w:i/>
          <w:iCs/>
          <w:color w:val="000000" w:themeColor="text1"/>
        </w:rPr>
      </w:pPr>
      <w:r w:rsidRPr="00410314">
        <w:rPr>
          <w:rFonts w:ascii="Arial" w:hAnsi="Arial" w:cs="Arial"/>
          <w:i/>
          <w:iCs/>
          <w:color w:val="000000" w:themeColor="text1"/>
        </w:rPr>
        <w:t>(</w:t>
      </w:r>
      <w:proofErr w:type="gramStart"/>
      <w:r w:rsidRPr="00410314">
        <w:rPr>
          <w:rFonts w:ascii="Arial" w:hAnsi="Arial" w:cs="Arial"/>
          <w:i/>
          <w:iCs/>
          <w:color w:val="000000" w:themeColor="text1"/>
        </w:rPr>
        <w:t>en</w:t>
      </w:r>
      <w:proofErr w:type="gramEnd"/>
      <w:r w:rsidRPr="00410314">
        <w:rPr>
          <w:rFonts w:ascii="Arial" w:hAnsi="Arial" w:cs="Arial"/>
          <w:i/>
          <w:iCs/>
          <w:color w:val="000000" w:themeColor="text1"/>
        </w:rPr>
        <w:t xml:space="preserve"> euros)</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3"/>
        <w:gridCol w:w="1739"/>
        <w:gridCol w:w="1739"/>
        <w:gridCol w:w="1739"/>
        <w:gridCol w:w="1646"/>
      </w:tblGrid>
      <w:tr w:rsidR="009F24AA" w:rsidRPr="00410314" w14:paraId="67C8D350" w14:textId="77777777" w:rsidTr="0085252F">
        <w:trPr>
          <w:tblCellSpacing w:w="0" w:type="dxa"/>
          <w:jc w:val="center"/>
        </w:trPr>
        <w:tc>
          <w:tcPr>
            <w:tcW w:w="1211" w:type="pct"/>
            <w:tcBorders>
              <w:top w:val="outset" w:sz="6" w:space="0" w:color="auto"/>
              <w:left w:val="outset" w:sz="6" w:space="0" w:color="auto"/>
              <w:bottom w:val="outset" w:sz="6" w:space="0" w:color="auto"/>
              <w:right w:val="outset" w:sz="6" w:space="0" w:color="auto"/>
            </w:tcBorders>
            <w:vAlign w:val="center"/>
            <w:hideMark/>
          </w:tcPr>
          <w:p w14:paraId="17EA50B3" w14:textId="77777777" w:rsidR="009F24AA" w:rsidRPr="00410314" w:rsidRDefault="009F24AA" w:rsidP="0085252F">
            <w:pPr>
              <w:jc w:val="center"/>
              <w:rPr>
                <w:rFonts w:ascii="Arial" w:hAnsi="Arial" w:cs="Arial"/>
                <w:color w:val="000000" w:themeColor="text1"/>
              </w:rPr>
            </w:pPr>
            <w:r w:rsidRPr="00410314">
              <w:rPr>
                <w:rFonts w:ascii="Arial" w:hAnsi="Arial" w:cs="Arial"/>
                <w:b/>
                <w:bCs/>
                <w:color w:val="000000" w:themeColor="text1"/>
              </w:rPr>
              <w:t>Programmes</w:t>
            </w:r>
          </w:p>
        </w:tc>
        <w:tc>
          <w:tcPr>
            <w:tcW w:w="1920" w:type="pct"/>
            <w:gridSpan w:val="2"/>
            <w:tcBorders>
              <w:top w:val="outset" w:sz="6" w:space="0" w:color="auto"/>
              <w:left w:val="outset" w:sz="6" w:space="0" w:color="auto"/>
              <w:bottom w:val="outset" w:sz="6" w:space="0" w:color="auto"/>
              <w:right w:val="outset" w:sz="6" w:space="0" w:color="auto"/>
            </w:tcBorders>
            <w:vAlign w:val="center"/>
            <w:hideMark/>
          </w:tcPr>
          <w:p w14:paraId="1326B48D" w14:textId="77777777" w:rsidR="009F24AA" w:rsidRPr="00410314" w:rsidRDefault="009F24AA" w:rsidP="0085252F">
            <w:pPr>
              <w:jc w:val="center"/>
              <w:rPr>
                <w:rFonts w:ascii="Arial" w:hAnsi="Arial" w:cs="Arial"/>
                <w:color w:val="000000" w:themeColor="text1"/>
              </w:rPr>
            </w:pPr>
            <w:r w:rsidRPr="00410314">
              <w:rPr>
                <w:rFonts w:ascii="Arial" w:hAnsi="Arial" w:cs="Arial"/>
                <w:b/>
                <w:bCs/>
                <w:color w:val="000000" w:themeColor="text1"/>
              </w:rPr>
              <w:t>Autorisations d’engagement</w:t>
            </w:r>
          </w:p>
        </w:tc>
        <w:tc>
          <w:tcPr>
            <w:tcW w:w="1869" w:type="pct"/>
            <w:gridSpan w:val="2"/>
            <w:tcBorders>
              <w:top w:val="outset" w:sz="6" w:space="0" w:color="auto"/>
              <w:left w:val="outset" w:sz="6" w:space="0" w:color="auto"/>
              <w:bottom w:val="outset" w:sz="6" w:space="0" w:color="auto"/>
              <w:right w:val="outset" w:sz="6" w:space="0" w:color="auto"/>
            </w:tcBorders>
            <w:vAlign w:val="center"/>
            <w:hideMark/>
          </w:tcPr>
          <w:p w14:paraId="4EE950AD" w14:textId="77777777" w:rsidR="009F24AA" w:rsidRPr="00410314" w:rsidRDefault="009F24AA" w:rsidP="0085252F">
            <w:pPr>
              <w:jc w:val="center"/>
              <w:rPr>
                <w:rFonts w:ascii="Arial" w:hAnsi="Arial" w:cs="Arial"/>
                <w:color w:val="000000" w:themeColor="text1"/>
              </w:rPr>
            </w:pPr>
            <w:r w:rsidRPr="00410314">
              <w:rPr>
                <w:rFonts w:ascii="Arial" w:hAnsi="Arial" w:cs="Arial"/>
                <w:b/>
                <w:bCs/>
                <w:color w:val="000000" w:themeColor="text1"/>
              </w:rPr>
              <w:t>Crédits de paiement</w:t>
            </w:r>
          </w:p>
        </w:tc>
      </w:tr>
      <w:tr w:rsidR="009F24AA" w:rsidRPr="00410314" w14:paraId="23A9387C" w14:textId="77777777" w:rsidTr="0085252F">
        <w:trPr>
          <w:tblCellSpacing w:w="0" w:type="dxa"/>
          <w:jc w:val="center"/>
        </w:trPr>
        <w:tc>
          <w:tcPr>
            <w:tcW w:w="1211" w:type="pct"/>
            <w:tcBorders>
              <w:top w:val="outset" w:sz="6" w:space="0" w:color="auto"/>
              <w:left w:val="outset" w:sz="6" w:space="0" w:color="auto"/>
              <w:bottom w:val="outset" w:sz="6" w:space="0" w:color="auto"/>
              <w:right w:val="outset" w:sz="6" w:space="0" w:color="auto"/>
            </w:tcBorders>
            <w:vAlign w:val="center"/>
            <w:hideMark/>
          </w:tcPr>
          <w:p w14:paraId="1E5F956E" w14:textId="77777777" w:rsidR="009F24AA" w:rsidRPr="00410314" w:rsidRDefault="009F24AA" w:rsidP="0085252F">
            <w:pPr>
              <w:jc w:val="center"/>
              <w:rPr>
                <w:rFonts w:ascii="Arial" w:hAnsi="Arial" w:cs="Arial"/>
                <w:color w:val="000000" w:themeColor="text1"/>
              </w:rPr>
            </w:pPr>
          </w:p>
        </w:tc>
        <w:tc>
          <w:tcPr>
            <w:tcW w:w="960" w:type="pct"/>
            <w:tcBorders>
              <w:top w:val="outset" w:sz="6" w:space="0" w:color="auto"/>
              <w:left w:val="outset" w:sz="6" w:space="0" w:color="auto"/>
              <w:bottom w:val="outset" w:sz="6" w:space="0" w:color="auto"/>
              <w:right w:val="outset" w:sz="6" w:space="0" w:color="auto"/>
            </w:tcBorders>
            <w:vAlign w:val="center"/>
            <w:hideMark/>
          </w:tcPr>
          <w:p w14:paraId="53F46FFB" w14:textId="77777777" w:rsidR="009F24AA" w:rsidRPr="00410314" w:rsidRDefault="009F24AA" w:rsidP="0085252F">
            <w:pPr>
              <w:jc w:val="center"/>
              <w:rPr>
                <w:rFonts w:ascii="Arial" w:hAnsi="Arial" w:cs="Arial"/>
                <w:color w:val="000000" w:themeColor="text1"/>
              </w:rPr>
            </w:pPr>
            <w:r w:rsidRPr="00410314">
              <w:rPr>
                <w:rFonts w:ascii="Arial" w:hAnsi="Arial" w:cs="Arial"/>
                <w:color w:val="000000" w:themeColor="text1"/>
              </w:rPr>
              <w:t>+</w:t>
            </w:r>
          </w:p>
        </w:tc>
        <w:tc>
          <w:tcPr>
            <w:tcW w:w="960" w:type="pct"/>
            <w:tcBorders>
              <w:top w:val="outset" w:sz="6" w:space="0" w:color="auto"/>
              <w:left w:val="outset" w:sz="6" w:space="0" w:color="auto"/>
              <w:bottom w:val="outset" w:sz="6" w:space="0" w:color="auto"/>
              <w:right w:val="outset" w:sz="6" w:space="0" w:color="auto"/>
            </w:tcBorders>
            <w:vAlign w:val="center"/>
            <w:hideMark/>
          </w:tcPr>
          <w:p w14:paraId="6378D3E9" w14:textId="77777777" w:rsidR="009F24AA" w:rsidRPr="00410314" w:rsidRDefault="009F24AA" w:rsidP="0085252F">
            <w:pPr>
              <w:jc w:val="center"/>
              <w:rPr>
                <w:rFonts w:ascii="Arial" w:hAnsi="Arial" w:cs="Arial"/>
                <w:color w:val="000000" w:themeColor="text1"/>
              </w:rPr>
            </w:pPr>
            <w:r w:rsidRPr="00410314">
              <w:rPr>
                <w:rFonts w:ascii="Arial" w:hAnsi="Arial" w:cs="Arial"/>
                <w:color w:val="000000" w:themeColor="text1"/>
              </w:rPr>
              <w:t>-</w:t>
            </w:r>
          </w:p>
        </w:tc>
        <w:tc>
          <w:tcPr>
            <w:tcW w:w="960" w:type="pct"/>
            <w:tcBorders>
              <w:top w:val="outset" w:sz="6" w:space="0" w:color="auto"/>
              <w:left w:val="outset" w:sz="6" w:space="0" w:color="auto"/>
              <w:bottom w:val="outset" w:sz="6" w:space="0" w:color="auto"/>
              <w:right w:val="outset" w:sz="6" w:space="0" w:color="auto"/>
            </w:tcBorders>
            <w:vAlign w:val="center"/>
            <w:hideMark/>
          </w:tcPr>
          <w:p w14:paraId="2D6688C8" w14:textId="77777777" w:rsidR="009F24AA" w:rsidRPr="00410314" w:rsidRDefault="009F24AA" w:rsidP="0085252F">
            <w:pPr>
              <w:jc w:val="center"/>
              <w:rPr>
                <w:rFonts w:ascii="Arial" w:hAnsi="Arial" w:cs="Arial"/>
                <w:color w:val="000000" w:themeColor="text1"/>
              </w:rPr>
            </w:pPr>
            <w:r w:rsidRPr="00410314">
              <w:rPr>
                <w:rFonts w:ascii="Arial" w:hAnsi="Arial" w:cs="Arial"/>
                <w:color w:val="000000" w:themeColor="text1"/>
              </w:rPr>
              <w:t>+</w:t>
            </w:r>
          </w:p>
        </w:tc>
        <w:tc>
          <w:tcPr>
            <w:tcW w:w="909" w:type="pct"/>
            <w:tcBorders>
              <w:top w:val="outset" w:sz="6" w:space="0" w:color="auto"/>
              <w:left w:val="outset" w:sz="6" w:space="0" w:color="auto"/>
              <w:bottom w:val="outset" w:sz="6" w:space="0" w:color="auto"/>
              <w:right w:val="outset" w:sz="6" w:space="0" w:color="auto"/>
            </w:tcBorders>
            <w:vAlign w:val="center"/>
            <w:hideMark/>
          </w:tcPr>
          <w:p w14:paraId="519A3327" w14:textId="77777777" w:rsidR="009F24AA" w:rsidRPr="00410314" w:rsidRDefault="009F24AA" w:rsidP="0085252F">
            <w:pPr>
              <w:jc w:val="center"/>
              <w:rPr>
                <w:rFonts w:ascii="Arial" w:hAnsi="Arial" w:cs="Arial"/>
                <w:color w:val="000000" w:themeColor="text1"/>
              </w:rPr>
            </w:pPr>
            <w:r w:rsidRPr="00410314">
              <w:rPr>
                <w:rFonts w:ascii="Arial" w:hAnsi="Arial" w:cs="Arial"/>
                <w:color w:val="000000" w:themeColor="text1"/>
              </w:rPr>
              <w:t>-</w:t>
            </w:r>
          </w:p>
        </w:tc>
      </w:tr>
      <w:tr w:rsidR="009F24AA" w:rsidRPr="00410314" w14:paraId="7E23F86E" w14:textId="77777777" w:rsidTr="0085252F">
        <w:trPr>
          <w:tblCellSpacing w:w="0" w:type="dxa"/>
          <w:jc w:val="center"/>
        </w:trPr>
        <w:tc>
          <w:tcPr>
            <w:tcW w:w="1211" w:type="pct"/>
            <w:tcBorders>
              <w:top w:val="outset" w:sz="6" w:space="0" w:color="auto"/>
              <w:left w:val="outset" w:sz="6" w:space="0" w:color="auto"/>
              <w:bottom w:val="outset" w:sz="6" w:space="0" w:color="auto"/>
              <w:right w:val="outset" w:sz="6" w:space="0" w:color="auto"/>
            </w:tcBorders>
            <w:hideMark/>
          </w:tcPr>
          <w:p w14:paraId="2DE8B44E" w14:textId="77777777" w:rsidR="009F24AA" w:rsidRPr="00410314" w:rsidRDefault="009F24AA" w:rsidP="0085252F">
            <w:pPr>
              <w:jc w:val="center"/>
              <w:rPr>
                <w:rFonts w:ascii="Arial" w:hAnsi="Arial" w:cs="Arial"/>
                <w:color w:val="000000" w:themeColor="text1"/>
              </w:rPr>
            </w:pPr>
            <w:r w:rsidRPr="00410314">
              <w:rPr>
                <w:rFonts w:ascii="Arial" w:hAnsi="Arial" w:cs="Arial"/>
                <w:b/>
                <w:bCs/>
                <w:color w:val="000000" w:themeColor="text1"/>
                <w:spacing w:val="3"/>
                <w:shd w:val="clear" w:color="auto" w:fill="FFFFFF"/>
              </w:rPr>
              <w:t>Urbanisme, territoires et amélioration de l'habitat</w:t>
            </w:r>
          </w:p>
        </w:tc>
        <w:tc>
          <w:tcPr>
            <w:tcW w:w="960" w:type="pct"/>
            <w:tcBorders>
              <w:top w:val="outset" w:sz="6" w:space="0" w:color="auto"/>
              <w:left w:val="outset" w:sz="6" w:space="0" w:color="auto"/>
              <w:bottom w:val="outset" w:sz="6" w:space="0" w:color="auto"/>
              <w:right w:val="outset" w:sz="6" w:space="0" w:color="auto"/>
            </w:tcBorders>
            <w:vAlign w:val="center"/>
            <w:hideMark/>
          </w:tcPr>
          <w:p w14:paraId="5359E435" w14:textId="77777777" w:rsidR="009F24AA" w:rsidRPr="00125AAD" w:rsidRDefault="009F24AA" w:rsidP="0085252F">
            <w:pPr>
              <w:jc w:val="center"/>
              <w:rPr>
                <w:rFonts w:ascii="Arial" w:hAnsi="Arial" w:cs="Arial"/>
                <w:color w:val="000000" w:themeColor="text1"/>
              </w:rPr>
            </w:pPr>
            <w:r w:rsidRPr="17394620">
              <w:rPr>
                <w:rFonts w:ascii="Arial" w:hAnsi="Arial" w:cs="Arial"/>
              </w:rPr>
              <w:t xml:space="preserve">569 964 000 </w:t>
            </w:r>
          </w:p>
        </w:tc>
        <w:tc>
          <w:tcPr>
            <w:tcW w:w="960" w:type="pct"/>
            <w:tcBorders>
              <w:top w:val="outset" w:sz="6" w:space="0" w:color="auto"/>
              <w:left w:val="outset" w:sz="6" w:space="0" w:color="auto"/>
              <w:bottom w:val="outset" w:sz="6" w:space="0" w:color="auto"/>
              <w:right w:val="outset" w:sz="6" w:space="0" w:color="auto"/>
            </w:tcBorders>
            <w:vAlign w:val="center"/>
            <w:hideMark/>
          </w:tcPr>
          <w:p w14:paraId="3A94B738" w14:textId="77777777" w:rsidR="009F24AA" w:rsidRPr="00125AAD" w:rsidRDefault="009F24AA" w:rsidP="0085252F">
            <w:pPr>
              <w:jc w:val="center"/>
              <w:rPr>
                <w:rFonts w:ascii="Arial" w:hAnsi="Arial" w:cs="Arial"/>
                <w:color w:val="000000" w:themeColor="text1"/>
              </w:rPr>
            </w:pPr>
          </w:p>
        </w:tc>
        <w:tc>
          <w:tcPr>
            <w:tcW w:w="960" w:type="pct"/>
            <w:tcBorders>
              <w:top w:val="outset" w:sz="6" w:space="0" w:color="auto"/>
              <w:left w:val="outset" w:sz="6" w:space="0" w:color="auto"/>
              <w:bottom w:val="outset" w:sz="6" w:space="0" w:color="auto"/>
              <w:right w:val="outset" w:sz="6" w:space="0" w:color="auto"/>
            </w:tcBorders>
            <w:vAlign w:val="center"/>
            <w:hideMark/>
          </w:tcPr>
          <w:p w14:paraId="7645C3BF" w14:textId="77777777" w:rsidR="009F24AA" w:rsidRPr="00125AAD" w:rsidRDefault="009F24AA" w:rsidP="0085252F">
            <w:pPr>
              <w:jc w:val="center"/>
              <w:rPr>
                <w:rFonts w:ascii="Arial" w:hAnsi="Arial" w:cs="Arial"/>
                <w:color w:val="000000" w:themeColor="text1"/>
              </w:rPr>
            </w:pPr>
            <w:r w:rsidRPr="17394620">
              <w:rPr>
                <w:rFonts w:ascii="Arial" w:hAnsi="Arial" w:cs="Arial"/>
              </w:rPr>
              <w:t xml:space="preserve">569 964 000 </w:t>
            </w:r>
          </w:p>
        </w:tc>
        <w:tc>
          <w:tcPr>
            <w:tcW w:w="909" w:type="pct"/>
            <w:tcBorders>
              <w:top w:val="outset" w:sz="6" w:space="0" w:color="auto"/>
              <w:left w:val="outset" w:sz="6" w:space="0" w:color="auto"/>
              <w:bottom w:val="outset" w:sz="6" w:space="0" w:color="auto"/>
              <w:right w:val="outset" w:sz="6" w:space="0" w:color="auto"/>
            </w:tcBorders>
            <w:vAlign w:val="center"/>
            <w:hideMark/>
          </w:tcPr>
          <w:p w14:paraId="6D735F82" w14:textId="77777777" w:rsidR="009F24AA" w:rsidRPr="00125AAD" w:rsidRDefault="009F24AA" w:rsidP="0085252F">
            <w:pPr>
              <w:jc w:val="center"/>
              <w:rPr>
                <w:rFonts w:ascii="Arial" w:hAnsi="Arial" w:cs="Arial"/>
                <w:color w:val="000000" w:themeColor="text1"/>
              </w:rPr>
            </w:pPr>
          </w:p>
        </w:tc>
      </w:tr>
      <w:tr w:rsidR="009F24AA" w:rsidRPr="00410314" w14:paraId="484E22B0" w14:textId="77777777" w:rsidTr="0085252F">
        <w:trPr>
          <w:tblCellSpacing w:w="0" w:type="dxa"/>
          <w:jc w:val="center"/>
        </w:trPr>
        <w:tc>
          <w:tcPr>
            <w:tcW w:w="1211" w:type="pct"/>
            <w:tcBorders>
              <w:top w:val="outset" w:sz="6" w:space="0" w:color="auto"/>
              <w:left w:val="outset" w:sz="6" w:space="0" w:color="auto"/>
              <w:bottom w:val="outset" w:sz="6" w:space="0" w:color="auto"/>
              <w:right w:val="outset" w:sz="6" w:space="0" w:color="auto"/>
            </w:tcBorders>
          </w:tcPr>
          <w:p w14:paraId="44FE9E0E" w14:textId="77777777" w:rsidR="009F24AA" w:rsidRPr="00410314" w:rsidRDefault="009F24AA" w:rsidP="0085252F">
            <w:pPr>
              <w:jc w:val="center"/>
              <w:rPr>
                <w:rFonts w:ascii="Arial" w:hAnsi="Arial" w:cs="Arial"/>
                <w:b/>
                <w:bCs/>
                <w:color w:val="000000" w:themeColor="text1"/>
              </w:rPr>
            </w:pPr>
            <w:r w:rsidRPr="00410314">
              <w:rPr>
                <w:rFonts w:ascii="Arial" w:hAnsi="Arial" w:cs="Arial"/>
                <w:b/>
                <w:bCs/>
                <w:color w:val="000000" w:themeColor="text1"/>
              </w:rPr>
              <w:t>Politique de la ville</w:t>
            </w:r>
          </w:p>
        </w:tc>
        <w:tc>
          <w:tcPr>
            <w:tcW w:w="960" w:type="pct"/>
            <w:tcBorders>
              <w:top w:val="outset" w:sz="6" w:space="0" w:color="auto"/>
              <w:left w:val="outset" w:sz="6" w:space="0" w:color="auto"/>
              <w:bottom w:val="outset" w:sz="6" w:space="0" w:color="auto"/>
              <w:right w:val="outset" w:sz="6" w:space="0" w:color="auto"/>
            </w:tcBorders>
            <w:vAlign w:val="center"/>
          </w:tcPr>
          <w:p w14:paraId="77024FEE" w14:textId="77777777" w:rsidR="009F24AA" w:rsidRPr="00125AAD" w:rsidRDefault="009F24AA" w:rsidP="0085252F">
            <w:pPr>
              <w:jc w:val="center"/>
              <w:rPr>
                <w:rFonts w:ascii="Arial" w:hAnsi="Arial" w:cs="Arial"/>
                <w:color w:val="000000" w:themeColor="text1"/>
              </w:rPr>
            </w:pPr>
          </w:p>
        </w:tc>
        <w:tc>
          <w:tcPr>
            <w:tcW w:w="960" w:type="pct"/>
            <w:tcBorders>
              <w:top w:val="outset" w:sz="6" w:space="0" w:color="auto"/>
              <w:left w:val="outset" w:sz="6" w:space="0" w:color="auto"/>
              <w:bottom w:val="outset" w:sz="6" w:space="0" w:color="auto"/>
              <w:right w:val="outset" w:sz="6" w:space="0" w:color="auto"/>
            </w:tcBorders>
            <w:vAlign w:val="center"/>
          </w:tcPr>
          <w:p w14:paraId="2EC15D4A" w14:textId="77777777" w:rsidR="009F24AA" w:rsidRPr="00125AAD" w:rsidRDefault="009F24AA" w:rsidP="0085252F">
            <w:pPr>
              <w:jc w:val="center"/>
              <w:rPr>
                <w:rFonts w:ascii="Arial" w:hAnsi="Arial" w:cs="Arial"/>
                <w:color w:val="000000" w:themeColor="text1"/>
              </w:rPr>
            </w:pPr>
            <w:r w:rsidRPr="17394620">
              <w:rPr>
                <w:rFonts w:ascii="Arial" w:hAnsi="Arial" w:cs="Arial"/>
              </w:rPr>
              <w:t>569 964 000</w:t>
            </w:r>
          </w:p>
        </w:tc>
        <w:tc>
          <w:tcPr>
            <w:tcW w:w="960" w:type="pct"/>
            <w:tcBorders>
              <w:top w:val="outset" w:sz="6" w:space="0" w:color="auto"/>
              <w:left w:val="outset" w:sz="6" w:space="0" w:color="auto"/>
              <w:bottom w:val="outset" w:sz="6" w:space="0" w:color="auto"/>
              <w:right w:val="outset" w:sz="6" w:space="0" w:color="auto"/>
            </w:tcBorders>
            <w:vAlign w:val="center"/>
          </w:tcPr>
          <w:p w14:paraId="4B24B53A" w14:textId="77777777" w:rsidR="009F24AA" w:rsidRPr="00125AAD" w:rsidRDefault="009F24AA" w:rsidP="0085252F">
            <w:pPr>
              <w:jc w:val="center"/>
              <w:rPr>
                <w:rFonts w:ascii="Arial" w:hAnsi="Arial" w:cs="Arial"/>
                <w:color w:val="000000" w:themeColor="text1"/>
              </w:rPr>
            </w:pPr>
          </w:p>
        </w:tc>
        <w:tc>
          <w:tcPr>
            <w:tcW w:w="909" w:type="pct"/>
            <w:tcBorders>
              <w:top w:val="outset" w:sz="6" w:space="0" w:color="auto"/>
              <w:left w:val="outset" w:sz="6" w:space="0" w:color="auto"/>
              <w:bottom w:val="outset" w:sz="6" w:space="0" w:color="auto"/>
              <w:right w:val="outset" w:sz="6" w:space="0" w:color="auto"/>
            </w:tcBorders>
            <w:vAlign w:val="center"/>
          </w:tcPr>
          <w:p w14:paraId="5A4947A3" w14:textId="77777777" w:rsidR="009F24AA" w:rsidRPr="00125AAD" w:rsidRDefault="009F24AA" w:rsidP="0085252F">
            <w:pPr>
              <w:jc w:val="center"/>
              <w:rPr>
                <w:rFonts w:ascii="Arial" w:hAnsi="Arial" w:cs="Arial"/>
                <w:color w:val="000000" w:themeColor="text1"/>
              </w:rPr>
            </w:pPr>
            <w:r w:rsidRPr="17394620">
              <w:rPr>
                <w:rFonts w:ascii="Arial" w:hAnsi="Arial" w:cs="Arial"/>
              </w:rPr>
              <w:t>569 964 000</w:t>
            </w:r>
          </w:p>
        </w:tc>
      </w:tr>
      <w:tr w:rsidR="009F24AA" w:rsidRPr="00410314" w14:paraId="72AF1E1A" w14:textId="77777777" w:rsidTr="0085252F">
        <w:trPr>
          <w:tblCellSpacing w:w="0" w:type="dxa"/>
          <w:jc w:val="center"/>
        </w:trPr>
        <w:tc>
          <w:tcPr>
            <w:tcW w:w="1211" w:type="pct"/>
            <w:tcBorders>
              <w:top w:val="outset" w:sz="6" w:space="0" w:color="auto"/>
              <w:left w:val="outset" w:sz="6" w:space="0" w:color="auto"/>
              <w:bottom w:val="outset" w:sz="6" w:space="0" w:color="auto"/>
              <w:right w:val="outset" w:sz="6" w:space="0" w:color="auto"/>
            </w:tcBorders>
            <w:hideMark/>
          </w:tcPr>
          <w:p w14:paraId="7895980B" w14:textId="77777777" w:rsidR="009F24AA" w:rsidRPr="00410314" w:rsidRDefault="009F24AA" w:rsidP="0085252F">
            <w:pPr>
              <w:jc w:val="center"/>
              <w:rPr>
                <w:rFonts w:ascii="Arial" w:hAnsi="Arial" w:cs="Arial"/>
                <w:b/>
                <w:bCs/>
                <w:color w:val="000000" w:themeColor="text1"/>
              </w:rPr>
            </w:pPr>
            <w:r w:rsidRPr="00410314">
              <w:rPr>
                <w:rFonts w:ascii="Arial" w:hAnsi="Arial" w:cs="Arial"/>
                <w:b/>
                <w:bCs/>
                <w:color w:val="000000" w:themeColor="text1"/>
              </w:rPr>
              <w:t>TOTAL</w:t>
            </w:r>
          </w:p>
        </w:tc>
        <w:tc>
          <w:tcPr>
            <w:tcW w:w="960" w:type="pct"/>
            <w:tcBorders>
              <w:top w:val="outset" w:sz="6" w:space="0" w:color="auto"/>
              <w:left w:val="outset" w:sz="6" w:space="0" w:color="auto"/>
              <w:bottom w:val="outset" w:sz="6" w:space="0" w:color="auto"/>
              <w:right w:val="outset" w:sz="6" w:space="0" w:color="auto"/>
            </w:tcBorders>
            <w:vAlign w:val="center"/>
            <w:hideMark/>
          </w:tcPr>
          <w:p w14:paraId="1DF6E398" w14:textId="77777777" w:rsidR="009F24AA" w:rsidRPr="00125AAD" w:rsidRDefault="009F24AA" w:rsidP="0085252F">
            <w:pPr>
              <w:jc w:val="center"/>
              <w:rPr>
                <w:rFonts w:ascii="Arial" w:hAnsi="Arial" w:cs="Arial"/>
                <w:b/>
                <w:bCs/>
                <w:color w:val="000000" w:themeColor="text1"/>
              </w:rPr>
            </w:pPr>
            <w:r w:rsidRPr="17394620">
              <w:rPr>
                <w:rFonts w:ascii="Arial" w:hAnsi="Arial" w:cs="Arial"/>
              </w:rPr>
              <w:t>569 964 000</w:t>
            </w:r>
          </w:p>
        </w:tc>
        <w:tc>
          <w:tcPr>
            <w:tcW w:w="960" w:type="pct"/>
            <w:tcBorders>
              <w:top w:val="outset" w:sz="6" w:space="0" w:color="auto"/>
              <w:left w:val="outset" w:sz="6" w:space="0" w:color="auto"/>
              <w:bottom w:val="outset" w:sz="6" w:space="0" w:color="auto"/>
              <w:right w:val="outset" w:sz="6" w:space="0" w:color="auto"/>
            </w:tcBorders>
            <w:vAlign w:val="center"/>
            <w:hideMark/>
          </w:tcPr>
          <w:p w14:paraId="238612F7" w14:textId="77777777" w:rsidR="009F24AA" w:rsidRPr="00125AAD" w:rsidRDefault="009F24AA" w:rsidP="0085252F">
            <w:pPr>
              <w:jc w:val="center"/>
              <w:rPr>
                <w:rFonts w:ascii="Arial" w:hAnsi="Arial" w:cs="Arial"/>
                <w:b/>
                <w:bCs/>
                <w:color w:val="000000" w:themeColor="text1"/>
              </w:rPr>
            </w:pPr>
            <w:r w:rsidRPr="17394620">
              <w:rPr>
                <w:rFonts w:ascii="Arial" w:hAnsi="Arial" w:cs="Arial"/>
              </w:rPr>
              <w:t>569 964 000</w:t>
            </w:r>
          </w:p>
        </w:tc>
        <w:tc>
          <w:tcPr>
            <w:tcW w:w="960" w:type="pct"/>
            <w:tcBorders>
              <w:top w:val="outset" w:sz="6" w:space="0" w:color="auto"/>
              <w:left w:val="outset" w:sz="6" w:space="0" w:color="auto"/>
              <w:bottom w:val="outset" w:sz="6" w:space="0" w:color="auto"/>
              <w:right w:val="outset" w:sz="6" w:space="0" w:color="auto"/>
            </w:tcBorders>
            <w:vAlign w:val="center"/>
            <w:hideMark/>
          </w:tcPr>
          <w:p w14:paraId="699251EA" w14:textId="77777777" w:rsidR="009F24AA" w:rsidRPr="00125AAD" w:rsidRDefault="009F24AA" w:rsidP="0085252F">
            <w:pPr>
              <w:jc w:val="center"/>
              <w:rPr>
                <w:rFonts w:ascii="Arial" w:hAnsi="Arial" w:cs="Arial"/>
                <w:b/>
                <w:bCs/>
                <w:color w:val="000000" w:themeColor="text1"/>
              </w:rPr>
            </w:pPr>
            <w:r w:rsidRPr="17394620">
              <w:rPr>
                <w:rFonts w:ascii="Arial" w:hAnsi="Arial" w:cs="Arial"/>
              </w:rPr>
              <w:t>569 964 000</w:t>
            </w:r>
          </w:p>
        </w:tc>
        <w:tc>
          <w:tcPr>
            <w:tcW w:w="909" w:type="pct"/>
            <w:tcBorders>
              <w:top w:val="outset" w:sz="6" w:space="0" w:color="auto"/>
              <w:left w:val="outset" w:sz="6" w:space="0" w:color="auto"/>
              <w:bottom w:val="outset" w:sz="6" w:space="0" w:color="auto"/>
              <w:right w:val="outset" w:sz="6" w:space="0" w:color="auto"/>
            </w:tcBorders>
            <w:vAlign w:val="center"/>
            <w:hideMark/>
          </w:tcPr>
          <w:p w14:paraId="2D5D6316" w14:textId="77777777" w:rsidR="009F24AA" w:rsidRPr="00125AAD" w:rsidRDefault="009F24AA" w:rsidP="0085252F">
            <w:pPr>
              <w:jc w:val="center"/>
              <w:rPr>
                <w:rFonts w:ascii="Arial" w:hAnsi="Arial" w:cs="Arial"/>
                <w:b/>
                <w:bCs/>
                <w:color w:val="000000" w:themeColor="text1"/>
              </w:rPr>
            </w:pPr>
            <w:r w:rsidRPr="17394620">
              <w:rPr>
                <w:rFonts w:ascii="Arial" w:hAnsi="Arial" w:cs="Arial"/>
              </w:rPr>
              <w:t>569 964 000</w:t>
            </w:r>
          </w:p>
        </w:tc>
      </w:tr>
      <w:tr w:rsidR="009F24AA" w:rsidRPr="00410314" w14:paraId="11F942C2" w14:textId="77777777" w:rsidTr="0085252F">
        <w:trPr>
          <w:tblCellSpacing w:w="0" w:type="dxa"/>
          <w:jc w:val="center"/>
        </w:trPr>
        <w:tc>
          <w:tcPr>
            <w:tcW w:w="1211" w:type="pct"/>
            <w:tcBorders>
              <w:top w:val="outset" w:sz="6" w:space="0" w:color="auto"/>
              <w:left w:val="outset" w:sz="6" w:space="0" w:color="auto"/>
              <w:bottom w:val="outset" w:sz="6" w:space="0" w:color="auto"/>
              <w:right w:val="outset" w:sz="6" w:space="0" w:color="auto"/>
            </w:tcBorders>
            <w:hideMark/>
          </w:tcPr>
          <w:p w14:paraId="4322C6DA" w14:textId="77777777" w:rsidR="009F24AA" w:rsidRPr="00410314" w:rsidRDefault="009F24AA" w:rsidP="0085252F">
            <w:pPr>
              <w:jc w:val="center"/>
              <w:rPr>
                <w:rFonts w:ascii="Arial" w:hAnsi="Arial" w:cs="Arial"/>
              </w:rPr>
            </w:pPr>
            <w:r w:rsidRPr="00410314">
              <w:rPr>
                <w:rFonts w:ascii="Arial" w:hAnsi="Arial" w:cs="Arial"/>
                <w:b/>
                <w:bCs/>
              </w:rPr>
              <w:t>SOLDE</w:t>
            </w:r>
          </w:p>
        </w:tc>
        <w:tc>
          <w:tcPr>
            <w:tcW w:w="1920" w:type="pct"/>
            <w:gridSpan w:val="2"/>
            <w:tcBorders>
              <w:top w:val="outset" w:sz="6" w:space="0" w:color="auto"/>
              <w:left w:val="outset" w:sz="6" w:space="0" w:color="auto"/>
              <w:bottom w:val="outset" w:sz="6" w:space="0" w:color="auto"/>
              <w:right w:val="outset" w:sz="6" w:space="0" w:color="auto"/>
            </w:tcBorders>
            <w:vAlign w:val="center"/>
            <w:hideMark/>
          </w:tcPr>
          <w:p w14:paraId="28337955" w14:textId="77777777" w:rsidR="009F24AA" w:rsidRPr="00410314" w:rsidRDefault="009F24AA" w:rsidP="0085252F">
            <w:pPr>
              <w:jc w:val="center"/>
              <w:rPr>
                <w:rFonts w:ascii="Arial" w:hAnsi="Arial" w:cs="Arial"/>
              </w:rPr>
            </w:pPr>
            <w:r w:rsidRPr="00410314">
              <w:rPr>
                <w:rFonts w:ascii="Arial" w:hAnsi="Arial" w:cs="Arial"/>
                <w:b/>
                <w:bCs/>
              </w:rPr>
              <w:t> 0</w:t>
            </w:r>
          </w:p>
        </w:tc>
        <w:tc>
          <w:tcPr>
            <w:tcW w:w="1869" w:type="pct"/>
            <w:gridSpan w:val="2"/>
            <w:tcBorders>
              <w:top w:val="outset" w:sz="6" w:space="0" w:color="auto"/>
              <w:left w:val="outset" w:sz="6" w:space="0" w:color="auto"/>
              <w:bottom w:val="outset" w:sz="6" w:space="0" w:color="auto"/>
              <w:right w:val="outset" w:sz="6" w:space="0" w:color="auto"/>
            </w:tcBorders>
            <w:vAlign w:val="center"/>
            <w:hideMark/>
          </w:tcPr>
          <w:p w14:paraId="59C26714" w14:textId="77777777" w:rsidR="009F24AA" w:rsidRPr="00410314" w:rsidRDefault="009F24AA" w:rsidP="0085252F">
            <w:pPr>
              <w:jc w:val="center"/>
              <w:rPr>
                <w:rFonts w:ascii="Arial" w:hAnsi="Arial" w:cs="Arial"/>
              </w:rPr>
            </w:pPr>
            <w:r w:rsidRPr="00410314">
              <w:rPr>
                <w:rFonts w:ascii="Arial" w:hAnsi="Arial" w:cs="Arial"/>
                <w:b/>
                <w:bCs/>
              </w:rPr>
              <w:t> 0</w:t>
            </w:r>
          </w:p>
        </w:tc>
      </w:tr>
    </w:tbl>
    <w:p w14:paraId="2282D3CF" w14:textId="77777777" w:rsidR="009F24AA" w:rsidRDefault="009F24AA" w:rsidP="009F24AA">
      <w:pPr>
        <w:rPr>
          <w:rFonts w:ascii="Arial" w:hAnsi="Arial" w:cs="Arial"/>
          <w:b/>
          <w:bCs/>
          <w:color w:val="000000" w:themeColor="text1"/>
        </w:rPr>
      </w:pPr>
    </w:p>
    <w:p w14:paraId="1004830B" w14:textId="77777777" w:rsidR="009F24AA" w:rsidRPr="00410314" w:rsidRDefault="009F24AA" w:rsidP="009F24AA">
      <w:pPr>
        <w:rPr>
          <w:rFonts w:ascii="Arial" w:hAnsi="Arial" w:cs="Arial"/>
          <w:b/>
          <w:bCs/>
          <w:color w:val="000000" w:themeColor="text1"/>
        </w:rPr>
      </w:pPr>
    </w:p>
    <w:p w14:paraId="1824047B" w14:textId="77777777" w:rsidR="009F24AA" w:rsidRPr="00410314" w:rsidRDefault="009F24AA" w:rsidP="009F24AA">
      <w:pPr>
        <w:jc w:val="center"/>
        <w:rPr>
          <w:rFonts w:ascii="Arial" w:hAnsi="Arial" w:cs="Arial"/>
          <w:b/>
          <w:bCs/>
          <w:color w:val="000000" w:themeColor="text1"/>
        </w:rPr>
      </w:pPr>
      <w:r w:rsidRPr="17394620">
        <w:rPr>
          <w:rFonts w:ascii="Arial" w:hAnsi="Arial" w:cs="Arial"/>
          <w:b/>
          <w:bCs/>
          <w:color w:val="000000" w:themeColor="text1"/>
        </w:rPr>
        <w:t>EXPOSÉ SOMMAIRE</w:t>
      </w:r>
    </w:p>
    <w:p w14:paraId="38CCA11A" w14:textId="77777777" w:rsidR="009F24AA" w:rsidRDefault="009F24AA" w:rsidP="009F24AA">
      <w:pPr>
        <w:jc w:val="both"/>
        <w:rPr>
          <w:rFonts w:ascii="Arial" w:eastAsia="Arial" w:hAnsi="Arial" w:cs="Arial"/>
          <w:color w:val="000000" w:themeColor="text1"/>
        </w:rPr>
      </w:pPr>
    </w:p>
    <w:p w14:paraId="1D4D21B0" w14:textId="77777777" w:rsidR="009F24AA" w:rsidRPr="000B10A8" w:rsidRDefault="009F24AA" w:rsidP="009F24AA">
      <w:pPr>
        <w:jc w:val="both"/>
        <w:rPr>
          <w:rFonts w:ascii="Arial" w:eastAsia="Arial" w:hAnsi="Arial" w:cs="Arial"/>
          <w:color w:val="000000" w:themeColor="text1"/>
        </w:rPr>
      </w:pPr>
      <w:r w:rsidRPr="000B10A8">
        <w:rPr>
          <w:rFonts w:ascii="Arial" w:eastAsia="Arial" w:hAnsi="Arial" w:cs="Arial"/>
          <w:color w:val="000000" w:themeColor="text1"/>
        </w:rPr>
        <w:t>Le Fonds national des aides à la pierre (FNAP) joue un rôle crucial dans le financement de la production de logements sociaux, et plus particulièrement de logements très sociaux (PLAI). Dans un contexte de crise grave du logement, le maintien et le renforcement de ce fonds est indispensable.</w:t>
      </w:r>
    </w:p>
    <w:p w14:paraId="33121C1A" w14:textId="77777777" w:rsidR="009F24AA" w:rsidRDefault="009F24AA" w:rsidP="009F24AA">
      <w:pPr>
        <w:jc w:val="both"/>
        <w:rPr>
          <w:rFonts w:ascii="Arial" w:eastAsia="Arial" w:hAnsi="Arial" w:cs="Arial"/>
          <w:color w:val="000000" w:themeColor="text1"/>
        </w:rPr>
      </w:pPr>
    </w:p>
    <w:p w14:paraId="58CCF001" w14:textId="77777777" w:rsidR="009F24AA" w:rsidRPr="000B10A8" w:rsidRDefault="009F24AA" w:rsidP="009F24AA">
      <w:pPr>
        <w:jc w:val="both"/>
        <w:rPr>
          <w:rFonts w:ascii="Arial" w:eastAsia="Arial" w:hAnsi="Arial" w:cs="Arial"/>
          <w:color w:val="000000" w:themeColor="text1"/>
        </w:rPr>
      </w:pPr>
      <w:r w:rsidRPr="5950392B">
        <w:rPr>
          <w:rFonts w:ascii="Arial" w:eastAsia="Arial" w:hAnsi="Arial" w:cs="Arial"/>
          <w:color w:val="000000" w:themeColor="text1"/>
        </w:rPr>
        <w:t xml:space="preserve">Or, Action Logement a récemment annoncé son retrait du cofinancement du FNAP, privant ce dernier d’une ressource essentielle. Cette décision intervient au moment où la production de logements sociaux chute fortement. </w:t>
      </w:r>
      <w:r w:rsidRPr="00043320">
        <w:rPr>
          <w:rFonts w:ascii="Arial" w:eastAsia="Arial" w:hAnsi="Arial" w:cs="Arial"/>
          <w:color w:val="000000" w:themeColor="text1"/>
        </w:rPr>
        <w:t>En 2024, le FNAP n’a permis l’agrément que de 85 381 logements sociaux, un volume très insuffisant au regard d’une demande qui atteignait, à la mi-2024, 2,7 millions de ménages en attente.</w:t>
      </w:r>
    </w:p>
    <w:p w14:paraId="4920390B" w14:textId="77777777" w:rsidR="009F24AA" w:rsidRDefault="009F24AA" w:rsidP="009F24AA">
      <w:pPr>
        <w:jc w:val="both"/>
        <w:rPr>
          <w:rFonts w:ascii="Arial" w:eastAsia="Arial" w:hAnsi="Arial" w:cs="Arial"/>
          <w:color w:val="000000" w:themeColor="text1"/>
        </w:rPr>
      </w:pPr>
    </w:p>
    <w:p w14:paraId="74393D4D" w14:textId="77777777" w:rsidR="009F24AA" w:rsidRDefault="009F24AA" w:rsidP="009F24AA">
      <w:pPr>
        <w:jc w:val="both"/>
        <w:rPr>
          <w:rFonts w:ascii="Arial" w:eastAsia="Arial" w:hAnsi="Arial" w:cs="Arial"/>
          <w:color w:val="000000" w:themeColor="text1"/>
        </w:rPr>
      </w:pPr>
      <w:r w:rsidRPr="000B10A8">
        <w:rPr>
          <w:rFonts w:ascii="Arial" w:eastAsia="Arial" w:hAnsi="Arial" w:cs="Arial"/>
          <w:color w:val="000000" w:themeColor="text1"/>
        </w:rPr>
        <w:t>Les ménages les plus précaires sont les plus touchés : les travaux récents démontrent qu’ils sont ceux qui ont le plus de difficultés à accéder au logement social, notamment du fait d’une offre insuffisante de logements très sociaux.</w:t>
      </w:r>
      <w:r>
        <w:rPr>
          <w:rFonts w:ascii="Arial" w:eastAsia="Arial" w:hAnsi="Arial" w:cs="Arial"/>
          <w:color w:val="000000" w:themeColor="text1"/>
        </w:rPr>
        <w:t xml:space="preserve"> </w:t>
      </w:r>
      <w:r w:rsidRPr="000B10A8">
        <w:rPr>
          <w:rFonts w:ascii="Arial" w:eastAsia="Arial" w:hAnsi="Arial" w:cs="Arial"/>
          <w:color w:val="000000" w:themeColor="text1"/>
        </w:rPr>
        <w:t>Face à cette situation alarmante, il est indispensable de renforcer immédiatement les crédits du FNAP, afin de :</w:t>
      </w:r>
    </w:p>
    <w:p w14:paraId="52F198CD" w14:textId="77777777" w:rsidR="009F24AA" w:rsidRDefault="009F24AA" w:rsidP="009F24AA">
      <w:pPr>
        <w:pStyle w:val="Paragraphedeliste"/>
        <w:numPr>
          <w:ilvl w:val="0"/>
          <w:numId w:val="1"/>
        </w:numPr>
        <w:contextualSpacing w:val="0"/>
        <w:jc w:val="both"/>
        <w:rPr>
          <w:rFonts w:ascii="Arial" w:eastAsia="Arial" w:hAnsi="Arial" w:cs="Arial"/>
          <w:color w:val="000000" w:themeColor="text1"/>
        </w:rPr>
      </w:pPr>
      <w:proofErr w:type="gramStart"/>
      <w:r>
        <w:rPr>
          <w:rFonts w:ascii="Arial" w:eastAsia="Arial" w:hAnsi="Arial" w:cs="Arial"/>
          <w:color w:val="000000" w:themeColor="text1"/>
        </w:rPr>
        <w:t>a</w:t>
      </w:r>
      <w:r w:rsidRPr="007D00B5">
        <w:rPr>
          <w:rFonts w:ascii="Arial" w:eastAsia="Arial" w:hAnsi="Arial" w:cs="Arial"/>
          <w:color w:val="000000" w:themeColor="text1"/>
        </w:rPr>
        <w:t>ssurer</w:t>
      </w:r>
      <w:proofErr w:type="gramEnd"/>
      <w:r w:rsidRPr="007D00B5">
        <w:rPr>
          <w:rFonts w:ascii="Arial" w:eastAsia="Arial" w:hAnsi="Arial" w:cs="Arial"/>
          <w:color w:val="000000" w:themeColor="text1"/>
        </w:rPr>
        <w:t xml:space="preserve"> une continuité de production malgré le désengagement d’Action Logement ;</w:t>
      </w:r>
    </w:p>
    <w:p w14:paraId="197FC49F" w14:textId="77777777" w:rsidR="009F24AA" w:rsidRDefault="009F24AA" w:rsidP="009F24AA">
      <w:pPr>
        <w:pStyle w:val="Paragraphedeliste"/>
        <w:numPr>
          <w:ilvl w:val="0"/>
          <w:numId w:val="1"/>
        </w:numPr>
        <w:contextualSpacing w:val="0"/>
        <w:jc w:val="both"/>
        <w:rPr>
          <w:rFonts w:ascii="Arial" w:eastAsia="Arial" w:hAnsi="Arial" w:cs="Arial"/>
          <w:color w:val="000000" w:themeColor="text1"/>
        </w:rPr>
      </w:pPr>
      <w:proofErr w:type="gramStart"/>
      <w:r>
        <w:rPr>
          <w:rFonts w:ascii="Arial" w:eastAsia="Arial" w:hAnsi="Arial" w:cs="Arial"/>
          <w:color w:val="000000" w:themeColor="text1"/>
        </w:rPr>
        <w:t>c</w:t>
      </w:r>
      <w:r w:rsidRPr="007D00B5">
        <w:rPr>
          <w:rFonts w:ascii="Arial" w:eastAsia="Arial" w:hAnsi="Arial" w:cs="Arial"/>
          <w:color w:val="000000" w:themeColor="text1"/>
        </w:rPr>
        <w:t>ibler</w:t>
      </w:r>
      <w:proofErr w:type="gramEnd"/>
      <w:r w:rsidRPr="007D00B5">
        <w:rPr>
          <w:rFonts w:ascii="Arial" w:eastAsia="Arial" w:hAnsi="Arial" w:cs="Arial"/>
          <w:color w:val="000000" w:themeColor="text1"/>
        </w:rPr>
        <w:t xml:space="preserve"> les publics prioritaires, via la construction de logements à loyers très modérés (PLAI et PLAI adaptés) ;</w:t>
      </w:r>
    </w:p>
    <w:p w14:paraId="55A6BA90" w14:textId="77777777" w:rsidR="009F24AA" w:rsidRPr="007D00B5" w:rsidRDefault="009F24AA" w:rsidP="009F24AA">
      <w:pPr>
        <w:pStyle w:val="Paragraphedeliste"/>
        <w:numPr>
          <w:ilvl w:val="0"/>
          <w:numId w:val="1"/>
        </w:numPr>
        <w:contextualSpacing w:val="0"/>
        <w:jc w:val="both"/>
        <w:rPr>
          <w:rFonts w:ascii="Arial" w:eastAsia="Arial" w:hAnsi="Arial" w:cs="Arial"/>
          <w:color w:val="000000" w:themeColor="text1"/>
        </w:rPr>
      </w:pPr>
      <w:proofErr w:type="gramStart"/>
      <w:r>
        <w:rPr>
          <w:rFonts w:ascii="Arial" w:eastAsia="Arial" w:hAnsi="Arial" w:cs="Arial"/>
          <w:color w:val="000000" w:themeColor="text1"/>
        </w:rPr>
        <w:t>r</w:t>
      </w:r>
      <w:r w:rsidRPr="007D00B5">
        <w:rPr>
          <w:rFonts w:ascii="Arial" w:eastAsia="Arial" w:hAnsi="Arial" w:cs="Arial"/>
          <w:color w:val="000000" w:themeColor="text1"/>
        </w:rPr>
        <w:t>épondre</w:t>
      </w:r>
      <w:proofErr w:type="gramEnd"/>
      <w:r w:rsidRPr="007D00B5">
        <w:rPr>
          <w:rFonts w:ascii="Arial" w:eastAsia="Arial" w:hAnsi="Arial" w:cs="Arial"/>
          <w:color w:val="000000" w:themeColor="text1"/>
        </w:rPr>
        <w:t xml:space="preserve"> à la demande structurelle, qui ne peut être satisfaite sans un soutien massif à l’offre.</w:t>
      </w:r>
    </w:p>
    <w:p w14:paraId="785005FE" w14:textId="77777777" w:rsidR="009F24AA" w:rsidRDefault="009F24AA" w:rsidP="009F24AA">
      <w:pPr>
        <w:jc w:val="both"/>
        <w:rPr>
          <w:rFonts w:ascii="Arial" w:hAnsi="Arial" w:cs="Arial"/>
          <w:color w:val="000000" w:themeColor="text1"/>
        </w:rPr>
      </w:pPr>
      <w:bookmarkStart w:id="2" w:name="_Hlk148628157"/>
    </w:p>
    <w:p w14:paraId="3102DFC1" w14:textId="77777777" w:rsidR="009F24AA" w:rsidRPr="000B10A8" w:rsidRDefault="009F24AA" w:rsidP="009F24AA">
      <w:pPr>
        <w:jc w:val="both"/>
        <w:rPr>
          <w:rFonts w:ascii="Arial" w:hAnsi="Arial" w:cs="Arial"/>
          <w:color w:val="000000" w:themeColor="text1"/>
        </w:rPr>
      </w:pPr>
      <w:r w:rsidRPr="003944C3">
        <w:rPr>
          <w:rFonts w:ascii="Arial" w:hAnsi="Arial" w:cs="Arial"/>
          <w:color w:val="000000" w:themeColor="text1"/>
        </w:rPr>
        <w:t xml:space="preserve">En ce sens, </w:t>
      </w:r>
      <w:r>
        <w:rPr>
          <w:rFonts w:ascii="Arial" w:hAnsi="Arial" w:cs="Arial"/>
          <w:color w:val="000000" w:themeColor="text1"/>
        </w:rPr>
        <w:t xml:space="preserve">il est demandé </w:t>
      </w:r>
      <w:r w:rsidRPr="003944C3">
        <w:rPr>
          <w:rFonts w:ascii="Arial" w:hAnsi="Arial" w:cs="Arial"/>
          <w:color w:val="000000" w:themeColor="text1"/>
        </w:rPr>
        <w:t>le retour de la participation de l’Etat au FNAP et la compensation de la part d’Action logement (200 000 000 d’euros)</w:t>
      </w:r>
      <w:r w:rsidRPr="003944C3">
        <w:rPr>
          <w:rFonts w:ascii="Arial" w:hAnsi="Arial" w:cs="Arial"/>
        </w:rPr>
        <w:t>, af</w:t>
      </w:r>
      <w:r w:rsidRPr="003944C3">
        <w:rPr>
          <w:rFonts w:ascii="Arial" w:hAnsi="Arial" w:cs="Arial"/>
          <w:color w:val="000000" w:themeColor="text1"/>
        </w:rPr>
        <w:t>in de maintenir le niveau de production de logements très sociaux et de répondre à l’augmentation historique de la demande de logements sociaux.</w:t>
      </w:r>
      <w:r w:rsidRPr="000B10A8">
        <w:rPr>
          <w:rFonts w:ascii="Arial" w:hAnsi="Arial" w:cs="Arial"/>
          <w:color w:val="000000" w:themeColor="text1"/>
        </w:rPr>
        <w:t xml:space="preserve"> Cette participation pourrait être dédiée en premier lieu aux PLAI, mode de financement des logements locatifs très sociaux, et pourrait également améliorer les modalités de financement des opérations en PLAI-adapté (logements locatifs très sociaux dont le niveau de quittance est encore baissé pour les personnes aux revenus les plus modestes). </w:t>
      </w:r>
    </w:p>
    <w:p w14:paraId="564EB9F7" w14:textId="77777777" w:rsidR="009F24AA" w:rsidRPr="000B10A8" w:rsidRDefault="009F24AA" w:rsidP="009F24AA">
      <w:pPr>
        <w:jc w:val="both"/>
        <w:rPr>
          <w:rFonts w:ascii="Arial" w:hAnsi="Arial" w:cs="Arial"/>
          <w:color w:val="000000" w:themeColor="text1"/>
        </w:rPr>
      </w:pPr>
    </w:p>
    <w:p w14:paraId="2541242E" w14:textId="77777777" w:rsidR="009F24AA" w:rsidRPr="000B10A8" w:rsidRDefault="009F24AA" w:rsidP="009F24AA">
      <w:pPr>
        <w:jc w:val="both"/>
        <w:rPr>
          <w:rFonts w:ascii="Arial" w:hAnsi="Arial" w:cs="Arial"/>
          <w:color w:val="000000" w:themeColor="text1"/>
        </w:rPr>
      </w:pPr>
      <w:r w:rsidRPr="000B10A8">
        <w:rPr>
          <w:rFonts w:ascii="Arial" w:hAnsi="Arial" w:cs="Arial"/>
          <w:color w:val="000000" w:themeColor="text1"/>
        </w:rPr>
        <w:t xml:space="preserve">Par ailleurs, face au renchérissement sensible du coût des projets, il sera nécessaire d’augmenter le montant de subvention par logement pour équilibrer les opérations, notamment en zones tendues. Une augmentation des aides à la pierre qui s’accompagnerait d’une augmentation concomitante des objectifs de production sans augmentation de la subvention par logement ne permettrait pas de faire décoller la production de logements locatifs très sociaux. </w:t>
      </w:r>
    </w:p>
    <w:p w14:paraId="4F15BE52" w14:textId="77777777" w:rsidR="009F24AA" w:rsidRPr="000B10A8" w:rsidRDefault="009F24AA" w:rsidP="009F24AA">
      <w:pPr>
        <w:jc w:val="both"/>
        <w:rPr>
          <w:rFonts w:ascii="Arial" w:hAnsi="Arial" w:cs="Arial"/>
          <w:color w:val="000000" w:themeColor="text1"/>
        </w:rPr>
      </w:pPr>
    </w:p>
    <w:p w14:paraId="10331FD1" w14:textId="77777777" w:rsidR="009F24AA" w:rsidRPr="00833EEC" w:rsidRDefault="009F24AA" w:rsidP="009F24AA">
      <w:pPr>
        <w:jc w:val="both"/>
        <w:rPr>
          <w:rFonts w:ascii="Arial" w:eastAsiaTheme="majorEastAsia" w:hAnsi="Arial" w:cs="Arial"/>
          <w:bCs/>
          <w:color w:val="000000" w:themeColor="text1"/>
        </w:rPr>
      </w:pPr>
      <w:r w:rsidRPr="000B10A8">
        <w:rPr>
          <w:rFonts w:ascii="Arial" w:hAnsi="Arial" w:cs="Arial"/>
          <w:bCs/>
          <w:color w:val="000000" w:themeColor="text1"/>
        </w:rPr>
        <w:t xml:space="preserve">En prévoyant l’augmentation de </w:t>
      </w:r>
      <w:r w:rsidRPr="000B10A8">
        <w:rPr>
          <w:rFonts w:ascii="Arial" w:eastAsiaTheme="majorEastAsia" w:hAnsi="Arial" w:cs="Arial"/>
          <w:bCs/>
          <w:color w:val="000000" w:themeColor="text1"/>
        </w:rPr>
        <w:t>20 % du montant moyen de subvention et la programmation de 60 000 PLAI, objectifs partagés par les différents acteurs, cela amènerait à un abondement de l’Etat à hauteur de 369 964 000 euros.</w:t>
      </w:r>
      <w:r w:rsidRPr="00833EEC">
        <w:rPr>
          <w:lang w:eastAsia="fr-FR"/>
        </w:rPr>
        <w:t xml:space="preserve"> </w:t>
      </w:r>
      <w:r w:rsidRPr="00833EEC">
        <w:rPr>
          <w:rFonts w:ascii="Arial" w:eastAsiaTheme="majorEastAsia" w:hAnsi="Arial" w:cs="Arial"/>
          <w:bCs/>
          <w:color w:val="000000" w:themeColor="text1"/>
        </w:rPr>
        <w:t>En prévoyant l’augmentation de 20 % du montant moyen de subvention et la programmation de 60 000 PLAI, objectifs partagés par les différents acteurs, cela amènerait à un abondement de l’État à hauteur de 369 964 000 euros. Cet abondement, conjugué à la compensation du retrait d’Action Logement (200 000 000 euros), porterait l’augmentation totale des crédits alloués au FNAP à 569 964 000 euros en autorisations d’engagement et en crédits de paiement.</w:t>
      </w:r>
    </w:p>
    <w:p w14:paraId="1458481B" w14:textId="77777777" w:rsidR="009F24AA" w:rsidRPr="00833EEC" w:rsidRDefault="009F24AA" w:rsidP="009F24AA">
      <w:pPr>
        <w:jc w:val="both"/>
        <w:rPr>
          <w:rFonts w:ascii="Arial" w:eastAsiaTheme="majorEastAsia" w:hAnsi="Arial" w:cs="Arial"/>
          <w:bCs/>
          <w:color w:val="000000" w:themeColor="text1"/>
        </w:rPr>
      </w:pPr>
    </w:p>
    <w:p w14:paraId="19D2E99C" w14:textId="77777777" w:rsidR="009F24AA" w:rsidRPr="000B10A8" w:rsidRDefault="009F24AA" w:rsidP="009F24AA">
      <w:pPr>
        <w:spacing w:line="259" w:lineRule="auto"/>
        <w:jc w:val="both"/>
        <w:rPr>
          <w:rFonts w:ascii="Arial" w:eastAsiaTheme="majorEastAsia" w:hAnsi="Arial" w:cs="Arial"/>
          <w:color w:val="000000" w:themeColor="text1"/>
        </w:rPr>
      </w:pPr>
      <w:r w:rsidRPr="000B10A8">
        <w:rPr>
          <w:rFonts w:ascii="Arial" w:eastAsiaTheme="majorEastAsia" w:hAnsi="Arial" w:cs="Arial"/>
          <w:color w:val="000000" w:themeColor="text1"/>
        </w:rPr>
        <w:t xml:space="preserve">Afin de </w:t>
      </w:r>
      <w:proofErr w:type="spellStart"/>
      <w:r w:rsidRPr="000B10A8">
        <w:rPr>
          <w:rFonts w:ascii="Arial" w:eastAsiaTheme="majorEastAsia" w:hAnsi="Arial" w:cs="Arial"/>
          <w:color w:val="000000" w:themeColor="text1"/>
        </w:rPr>
        <w:t>gager</w:t>
      </w:r>
      <w:proofErr w:type="spellEnd"/>
      <w:r w:rsidRPr="000B10A8">
        <w:rPr>
          <w:rFonts w:ascii="Arial" w:eastAsiaTheme="majorEastAsia" w:hAnsi="Arial" w:cs="Arial"/>
          <w:color w:val="000000" w:themeColor="text1"/>
        </w:rPr>
        <w:t xml:space="preserve"> cette augmentation du budget du programme 135 « Urbanisme, territoires et amélioration de l’habitat » dans le respect des règles prévues par la loi organique relative aux lois de finances (LOLF), il est proposé de prélever 569 964 000 euros au programme 147 « Politique de la ville » via son action n° 01 « Actions territorialisées et Dispositifs spécifiques de la politique de la ville » et ce au profit de l’action n° 01 « « Construction locative et amélioration du parc ».</w:t>
      </w:r>
    </w:p>
    <w:bookmarkEnd w:id="2"/>
    <w:p w14:paraId="4B58C92F" w14:textId="77777777" w:rsidR="009F24AA" w:rsidRPr="000B10A8" w:rsidRDefault="009F24AA" w:rsidP="009F24AA">
      <w:pPr>
        <w:jc w:val="both"/>
        <w:rPr>
          <w:rFonts w:ascii="Arial" w:hAnsi="Arial" w:cs="Arial"/>
          <w:color w:val="000000" w:themeColor="text1"/>
        </w:rPr>
      </w:pPr>
    </w:p>
    <w:p w14:paraId="282ADCCD" w14:textId="77777777" w:rsidR="009F24AA" w:rsidRPr="000B10A8" w:rsidRDefault="009F24AA" w:rsidP="009F24AA">
      <w:pPr>
        <w:jc w:val="both"/>
        <w:rPr>
          <w:rFonts w:ascii="Arial" w:hAnsi="Arial" w:cs="Arial"/>
          <w:color w:val="000000" w:themeColor="text1"/>
        </w:rPr>
      </w:pPr>
      <w:r w:rsidRPr="000B10A8">
        <w:rPr>
          <w:rFonts w:ascii="Arial" w:hAnsi="Arial" w:cs="Arial"/>
          <w:color w:val="000000" w:themeColor="text1"/>
        </w:rPr>
        <w:t>Il convient de noter que cette proposition de mouvement de crédits est uniquement formelle, afin de respecter les règles budgétaires. Notre intention n'est pas de ponctionner un autre programme et nous appelons le Gouvernement à lever ce gage financier.</w:t>
      </w:r>
    </w:p>
    <w:p w14:paraId="02081124" w14:textId="77777777" w:rsidR="003941EA" w:rsidRDefault="003941EA"/>
    <w:sectPr w:rsidR="003941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Arial&quot;,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25B5C"/>
    <w:multiLevelType w:val="hybridMultilevel"/>
    <w:tmpl w:val="B2EA397E"/>
    <w:lvl w:ilvl="0" w:tplc="C07869DA">
      <w:start w:val="1"/>
      <w:numFmt w:val="bullet"/>
      <w:lvlText w:val="-"/>
      <w:lvlJc w:val="left"/>
      <w:pPr>
        <w:ind w:left="720" w:hanging="360"/>
      </w:pPr>
      <w:rPr>
        <w:rFonts w:ascii="&quot;Arial&quot;,sans-serif" w:hAnsi="&quot;Arial&quot;,sans-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467480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4AA"/>
    <w:rsid w:val="003941EA"/>
    <w:rsid w:val="00880BC8"/>
    <w:rsid w:val="009F24AA"/>
    <w:rsid w:val="00A371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D59F1"/>
  <w15:chartTrackingRefBased/>
  <w15:docId w15:val="{8F8CF10A-480A-4AFA-B5C3-D14DA22CA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4AA"/>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Titre1">
    <w:name w:val="heading 1"/>
    <w:basedOn w:val="Normal"/>
    <w:next w:val="Normal"/>
    <w:link w:val="Titre1Car"/>
    <w:uiPriority w:val="9"/>
    <w:qFormat/>
    <w:rsid w:val="009F24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F24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F24A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F24A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F24A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F24A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F24A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F24A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F24A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24A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F24A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F24A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F24A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F24A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F24A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F24A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F24A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F24AA"/>
    <w:rPr>
      <w:rFonts w:eastAsiaTheme="majorEastAsia" w:cstheme="majorBidi"/>
      <w:color w:val="272727" w:themeColor="text1" w:themeTint="D8"/>
    </w:rPr>
  </w:style>
  <w:style w:type="paragraph" w:styleId="Titre">
    <w:name w:val="Title"/>
    <w:basedOn w:val="Normal"/>
    <w:next w:val="Normal"/>
    <w:link w:val="TitreCar"/>
    <w:uiPriority w:val="10"/>
    <w:qFormat/>
    <w:rsid w:val="009F24A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F24A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F24A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F24A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F24AA"/>
    <w:pPr>
      <w:spacing w:before="160"/>
      <w:jc w:val="center"/>
    </w:pPr>
    <w:rPr>
      <w:i/>
      <w:iCs/>
      <w:color w:val="404040" w:themeColor="text1" w:themeTint="BF"/>
    </w:rPr>
  </w:style>
  <w:style w:type="character" w:customStyle="1" w:styleId="CitationCar">
    <w:name w:val="Citation Car"/>
    <w:basedOn w:val="Policepardfaut"/>
    <w:link w:val="Citation"/>
    <w:uiPriority w:val="29"/>
    <w:rsid w:val="009F24AA"/>
    <w:rPr>
      <w:i/>
      <w:iCs/>
      <w:color w:val="404040" w:themeColor="text1" w:themeTint="BF"/>
    </w:rPr>
  </w:style>
  <w:style w:type="paragraph" w:styleId="Paragraphedeliste">
    <w:name w:val="List Paragraph"/>
    <w:basedOn w:val="Normal"/>
    <w:link w:val="ParagraphedelisteCar"/>
    <w:uiPriority w:val="34"/>
    <w:qFormat/>
    <w:rsid w:val="009F24AA"/>
    <w:pPr>
      <w:ind w:left="720"/>
      <w:contextualSpacing/>
    </w:pPr>
  </w:style>
  <w:style w:type="character" w:styleId="Accentuationintense">
    <w:name w:val="Intense Emphasis"/>
    <w:basedOn w:val="Policepardfaut"/>
    <w:uiPriority w:val="21"/>
    <w:qFormat/>
    <w:rsid w:val="009F24AA"/>
    <w:rPr>
      <w:i/>
      <w:iCs/>
      <w:color w:val="0F4761" w:themeColor="accent1" w:themeShade="BF"/>
    </w:rPr>
  </w:style>
  <w:style w:type="paragraph" w:styleId="Citationintense">
    <w:name w:val="Intense Quote"/>
    <w:basedOn w:val="Normal"/>
    <w:next w:val="Normal"/>
    <w:link w:val="CitationintenseCar"/>
    <w:uiPriority w:val="30"/>
    <w:qFormat/>
    <w:rsid w:val="009F24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F24AA"/>
    <w:rPr>
      <w:i/>
      <w:iCs/>
      <w:color w:val="0F4761" w:themeColor="accent1" w:themeShade="BF"/>
    </w:rPr>
  </w:style>
  <w:style w:type="character" w:styleId="Rfrenceintense">
    <w:name w:val="Intense Reference"/>
    <w:basedOn w:val="Policepardfaut"/>
    <w:uiPriority w:val="32"/>
    <w:qFormat/>
    <w:rsid w:val="009F24AA"/>
    <w:rPr>
      <w:b/>
      <w:bCs/>
      <w:smallCaps/>
      <w:color w:val="0F4761" w:themeColor="accent1" w:themeShade="BF"/>
      <w:spacing w:val="5"/>
    </w:rPr>
  </w:style>
  <w:style w:type="character" w:customStyle="1" w:styleId="ParagraphedelisteCar">
    <w:name w:val="Paragraphe de liste Car"/>
    <w:basedOn w:val="Policepardfaut"/>
    <w:link w:val="Paragraphedeliste"/>
    <w:uiPriority w:val="34"/>
    <w:rsid w:val="009F2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3754</Characters>
  <Application>Microsoft Office Word</Application>
  <DocSecurity>0</DocSecurity>
  <Lines>31</Lines>
  <Paragraphs>8</Paragraphs>
  <ScaleCrop>false</ScaleCrop>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de BROCA</dc:creator>
  <cp:keywords/>
  <dc:description/>
  <cp:lastModifiedBy>Arnaud de BROCA</cp:lastModifiedBy>
  <cp:revision>1</cp:revision>
  <dcterms:created xsi:type="dcterms:W3CDTF">2025-10-21T19:01:00Z</dcterms:created>
  <dcterms:modified xsi:type="dcterms:W3CDTF">2025-10-21T19:02:00Z</dcterms:modified>
</cp:coreProperties>
</file>