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DDE6" w14:textId="46F825E2" w:rsidR="007A4ED3" w:rsidRDefault="007A4ED3" w:rsidP="007A4ED3">
      <w:pPr>
        <w:pStyle w:val="Titre1"/>
        <w:rPr>
          <w:rFonts w:ascii="Arial" w:hAnsi="Arial" w:cs="Arial"/>
          <w:b/>
          <w:bCs/>
          <w:color w:val="000000" w:themeColor="text1"/>
          <w:sz w:val="32"/>
          <w:szCs w:val="32"/>
        </w:rPr>
      </w:pPr>
      <w:bookmarkStart w:id="0" w:name="_Toc168569681"/>
      <w:bookmarkStart w:id="1" w:name="_Toc178343128"/>
      <w:bookmarkStart w:id="2" w:name="_Toc209471753"/>
      <w:r w:rsidRPr="00496AD0">
        <w:rPr>
          <w:rFonts w:ascii="Arial" w:hAnsi="Arial" w:cs="Arial"/>
          <w:b/>
          <w:bCs/>
          <w:color w:val="auto"/>
          <w:sz w:val="32"/>
          <w:szCs w:val="32"/>
        </w:rPr>
        <w:t xml:space="preserve">Proposition d’amendement </w:t>
      </w:r>
      <w:r w:rsidRPr="00C70C84">
        <w:rPr>
          <w:rFonts w:ascii="Arial" w:hAnsi="Arial" w:cs="Arial"/>
          <w:b/>
          <w:bCs/>
          <w:color w:val="000000" w:themeColor="text1"/>
          <w:sz w:val="32"/>
          <w:szCs w:val="32"/>
        </w:rPr>
        <w:t xml:space="preserve">visant à conforter </w:t>
      </w:r>
      <w:bookmarkEnd w:id="0"/>
      <w:bookmarkEnd w:id="1"/>
      <w:bookmarkEnd w:id="2"/>
      <w:r>
        <w:rPr>
          <w:rFonts w:ascii="Arial" w:hAnsi="Arial" w:cs="Arial"/>
          <w:b/>
          <w:bCs/>
          <w:color w:val="000000" w:themeColor="text1"/>
          <w:sz w:val="32"/>
          <w:szCs w:val="32"/>
        </w:rPr>
        <w:t>le modèle économique des résidences sociales</w:t>
      </w:r>
      <w:r w:rsidR="001D31E1">
        <w:rPr>
          <w:rFonts w:ascii="Arial" w:hAnsi="Arial" w:cs="Arial"/>
          <w:b/>
          <w:bCs/>
          <w:color w:val="000000" w:themeColor="text1"/>
          <w:sz w:val="32"/>
          <w:szCs w:val="32"/>
        </w:rPr>
        <w:t xml:space="preserve"> en réintroduisant l’indexation des redevances selon un indice composite</w:t>
      </w:r>
    </w:p>
    <w:p w14:paraId="56364A43" w14:textId="77777777" w:rsidR="007A4ED3" w:rsidRDefault="007A4ED3" w:rsidP="007A4ED3"/>
    <w:p w14:paraId="7E68E584" w14:textId="7989D23D" w:rsidR="001D31E1" w:rsidRPr="001D31E1" w:rsidRDefault="001D31E1" w:rsidP="001D31E1">
      <w:pPr>
        <w:jc w:val="center"/>
        <w:rPr>
          <w:b/>
          <w:bCs/>
        </w:rPr>
      </w:pPr>
      <w:r w:rsidRPr="001D31E1">
        <w:rPr>
          <w:b/>
          <w:bCs/>
        </w:rPr>
        <w:t>AMENDEMENT</w:t>
      </w:r>
    </w:p>
    <w:p w14:paraId="7FBDEF52" w14:textId="54E54AA2" w:rsidR="001D31E1" w:rsidRPr="001D31E1" w:rsidRDefault="001D31E1" w:rsidP="001D31E1">
      <w:r>
        <w:t>Il est inséré un article ainsi rédigé</w:t>
      </w:r>
    </w:p>
    <w:p w14:paraId="2D3B0770" w14:textId="6AC9AEB8" w:rsidR="007A4ED3" w:rsidRDefault="001D31E1" w:rsidP="007A4ED3">
      <w:pPr>
        <w:autoSpaceDE w:val="0"/>
        <w:autoSpaceDN w:val="0"/>
        <w:adjustRightInd w:val="0"/>
        <w:spacing w:after="0" w:line="240" w:lineRule="auto"/>
        <w:jc w:val="center"/>
        <w:rPr>
          <w:rFonts w:ascii="Calibri" w:hAnsi="Calibri" w:cs="Calibri"/>
          <w:b/>
          <w:bCs/>
          <w:color w:val="000000"/>
        </w:rPr>
      </w:pPr>
      <w:bookmarkStart w:id="3" w:name="_Hlk161754604"/>
      <w:r>
        <w:rPr>
          <w:rFonts w:ascii="Calibri" w:hAnsi="Calibri" w:cs="Calibri"/>
          <w:b/>
          <w:bCs/>
          <w:color w:val="000000"/>
        </w:rPr>
        <w:t xml:space="preserve">Nouvel article </w:t>
      </w:r>
    </w:p>
    <w:p w14:paraId="4C7992C5" w14:textId="77777777" w:rsidR="001D31E1" w:rsidRDefault="001D31E1" w:rsidP="007A4ED3">
      <w:pPr>
        <w:autoSpaceDE w:val="0"/>
        <w:autoSpaceDN w:val="0"/>
        <w:adjustRightInd w:val="0"/>
        <w:spacing w:after="0" w:line="240" w:lineRule="auto"/>
        <w:jc w:val="center"/>
        <w:rPr>
          <w:rFonts w:ascii="Calibri" w:hAnsi="Calibri" w:cs="Calibri"/>
          <w:b/>
          <w:bCs/>
          <w:color w:val="000000"/>
        </w:rPr>
      </w:pPr>
    </w:p>
    <w:p w14:paraId="4C992788" w14:textId="77777777" w:rsidR="007A4ED3" w:rsidRPr="008466D5" w:rsidRDefault="007A4ED3" w:rsidP="007A4ED3">
      <w:pPr>
        <w:spacing w:after="0"/>
        <w:rPr>
          <w:rFonts w:ascii="Calibri" w:hAnsi="Calibri" w:cs="Calibri"/>
        </w:rPr>
      </w:pPr>
      <w:r w:rsidRPr="008466D5">
        <w:rPr>
          <w:rFonts w:ascii="Calibri" w:hAnsi="Calibri" w:cs="Calibri"/>
        </w:rPr>
        <w:t>« I. – L’article L. 353-9-3 du code de la construction et de l’habitation est ainsi modifié :</w:t>
      </w:r>
    </w:p>
    <w:p w14:paraId="2A8E7010" w14:textId="77777777" w:rsidR="007A4ED3" w:rsidRPr="008466D5" w:rsidRDefault="007A4ED3" w:rsidP="007A4ED3">
      <w:pPr>
        <w:spacing w:after="0"/>
        <w:rPr>
          <w:rFonts w:ascii="Calibri" w:hAnsi="Calibri" w:cs="Calibri"/>
        </w:rPr>
      </w:pPr>
    </w:p>
    <w:p w14:paraId="356DDF9E" w14:textId="77777777" w:rsidR="007A4ED3" w:rsidRPr="008466D5" w:rsidRDefault="007A4ED3" w:rsidP="007A4ED3">
      <w:pPr>
        <w:spacing w:after="0"/>
        <w:rPr>
          <w:rFonts w:ascii="Calibri" w:hAnsi="Calibri" w:cs="Calibri"/>
        </w:rPr>
      </w:pPr>
      <w:r w:rsidRPr="008466D5">
        <w:rPr>
          <w:rFonts w:ascii="Calibri" w:hAnsi="Calibri" w:cs="Calibri"/>
        </w:rPr>
        <w:t>a) Au 1</w:t>
      </w:r>
      <w:r w:rsidRPr="008466D5">
        <w:rPr>
          <w:rFonts w:ascii="Calibri" w:hAnsi="Calibri" w:cs="Calibri"/>
          <w:vertAlign w:val="superscript"/>
        </w:rPr>
        <w:t>er</w:t>
      </w:r>
      <w:r w:rsidRPr="008466D5">
        <w:rPr>
          <w:rFonts w:ascii="Calibri" w:hAnsi="Calibri" w:cs="Calibri"/>
        </w:rPr>
        <w:t xml:space="preserve"> alinéa, après le mot « mentionnés », ajouter les mots : « au 5° dudit article et »</w:t>
      </w:r>
    </w:p>
    <w:p w14:paraId="53288704" w14:textId="77777777" w:rsidR="007A4ED3" w:rsidRPr="008466D5" w:rsidRDefault="007A4ED3" w:rsidP="007A4ED3">
      <w:pPr>
        <w:spacing w:after="0"/>
        <w:rPr>
          <w:rFonts w:ascii="Calibri" w:hAnsi="Calibri" w:cs="Calibri"/>
        </w:rPr>
      </w:pPr>
    </w:p>
    <w:p w14:paraId="54D07D64" w14:textId="77777777" w:rsidR="007A4ED3" w:rsidRPr="008466D5" w:rsidRDefault="007A4ED3" w:rsidP="007A4ED3">
      <w:pPr>
        <w:spacing w:after="0"/>
        <w:jc w:val="both"/>
        <w:rPr>
          <w:rFonts w:ascii="Calibri" w:hAnsi="Calibri" w:cs="Calibri"/>
        </w:rPr>
      </w:pPr>
      <w:r w:rsidRPr="008466D5">
        <w:rPr>
          <w:rFonts w:ascii="Calibri" w:hAnsi="Calibri" w:cs="Calibri"/>
        </w:rPr>
        <w:t>b) Après le 1</w:t>
      </w:r>
      <w:r w:rsidRPr="008466D5">
        <w:rPr>
          <w:rFonts w:ascii="Calibri" w:hAnsi="Calibri" w:cs="Calibri"/>
          <w:vertAlign w:val="superscript"/>
        </w:rPr>
        <w:t>er</w:t>
      </w:r>
      <w:r w:rsidRPr="008466D5">
        <w:rPr>
          <w:rFonts w:ascii="Calibri" w:hAnsi="Calibri" w:cs="Calibri"/>
        </w:rPr>
        <w:t xml:space="preserve"> alinéa, insérer un alinéa ainsi rédigé : « Les redevances pratiquées pour les logements mentionnés au 5e de l’article L 831-1 sont révisés chaque année au 1er janvier selon un indice composite intégrant plusieurs éléments, qui sont définis par décret. Ce décret précise également les modalités de révision. »</w:t>
      </w:r>
    </w:p>
    <w:p w14:paraId="5D675678" w14:textId="77777777" w:rsidR="007A4ED3" w:rsidRDefault="007A4ED3" w:rsidP="007A4ED3">
      <w:pPr>
        <w:autoSpaceDE w:val="0"/>
        <w:autoSpaceDN w:val="0"/>
        <w:adjustRightInd w:val="0"/>
        <w:spacing w:after="0" w:line="240" w:lineRule="auto"/>
        <w:jc w:val="both"/>
        <w:rPr>
          <w:rFonts w:ascii="Calibri" w:eastAsia="Times New Roman" w:hAnsi="Calibri" w:cs="Calibri"/>
          <w:lang w:eastAsia="fr-FR"/>
        </w:rPr>
      </w:pPr>
    </w:p>
    <w:p w14:paraId="62793BDF" w14:textId="77777777" w:rsidR="001D31E1" w:rsidRPr="001D31E1" w:rsidRDefault="001D31E1" w:rsidP="001D31E1">
      <w:pPr>
        <w:jc w:val="center"/>
        <w:rPr>
          <w:rFonts w:cs="Arial"/>
          <w:b/>
          <w:bCs/>
        </w:rPr>
      </w:pPr>
      <w:r w:rsidRPr="001D31E1">
        <w:rPr>
          <w:rFonts w:cs="Arial"/>
          <w:b/>
          <w:bCs/>
        </w:rPr>
        <w:t>EXPOSE SOMMAIRE</w:t>
      </w:r>
    </w:p>
    <w:p w14:paraId="5FFAC682" w14:textId="77777777" w:rsidR="001D31E1" w:rsidRPr="001D31E1" w:rsidRDefault="001D31E1" w:rsidP="001D31E1">
      <w:pPr>
        <w:autoSpaceDE w:val="0"/>
        <w:autoSpaceDN w:val="0"/>
        <w:adjustRightInd w:val="0"/>
        <w:spacing w:after="0" w:line="240" w:lineRule="auto"/>
        <w:jc w:val="both"/>
        <w:rPr>
          <w:rFonts w:cs="Arial"/>
          <w:color w:val="000000"/>
        </w:rPr>
      </w:pPr>
      <w:r w:rsidRPr="001D31E1">
        <w:rPr>
          <w:rFonts w:cs="Arial"/>
          <w:color w:val="000000"/>
        </w:rPr>
        <w:t>Les gestionnaires de logements-foyers, dont les résidences sociales, facturent à leurs résidents une redevance toutes charges et prestations comprises, et non pas un loyer et des charges régularisées annuellement. Ce modèle est extrêmement protecteur pour les personnes logées, puisque c’est le gestionnaire qui assume les évolutions du coût des charges.</w:t>
      </w:r>
    </w:p>
    <w:p w14:paraId="329E43AB" w14:textId="77777777" w:rsidR="001D31E1" w:rsidRDefault="001D31E1" w:rsidP="001D31E1">
      <w:pPr>
        <w:autoSpaceDE w:val="0"/>
        <w:autoSpaceDN w:val="0"/>
        <w:adjustRightInd w:val="0"/>
        <w:spacing w:after="0" w:line="240" w:lineRule="auto"/>
        <w:jc w:val="both"/>
        <w:rPr>
          <w:rFonts w:cs="Arial"/>
          <w:color w:val="000000"/>
        </w:rPr>
      </w:pPr>
    </w:p>
    <w:p w14:paraId="7C96B3CF" w14:textId="77777777" w:rsidR="001D31E1" w:rsidRPr="001D31E1" w:rsidRDefault="001D31E1" w:rsidP="001D31E1">
      <w:pPr>
        <w:autoSpaceDE w:val="0"/>
        <w:autoSpaceDN w:val="0"/>
        <w:adjustRightInd w:val="0"/>
        <w:spacing w:after="0" w:line="240" w:lineRule="auto"/>
        <w:jc w:val="both"/>
        <w:rPr>
          <w:rFonts w:cs="Arial"/>
        </w:rPr>
      </w:pPr>
      <w:r w:rsidRPr="001D31E1">
        <w:rPr>
          <w:rFonts w:cs="Arial"/>
          <w:color w:val="000000"/>
        </w:rPr>
        <w:t xml:space="preserve">Depuis 2009, l’indexation des redevances est basée sur le seul IRL (article 65 de la loi MOLLE), et, non plus comme c’était le cas auparavant, selon des indices composites (coût de la construction, </w:t>
      </w:r>
      <w:r w:rsidRPr="001D31E1">
        <w:rPr>
          <w:rFonts w:cs="Arial"/>
          <w:i/>
          <w:iCs/>
          <w:color w:val="000000"/>
        </w:rPr>
        <w:t>« Electricité, gaz et autres combustibles</w:t>
      </w:r>
      <w:r w:rsidRPr="001D31E1">
        <w:rPr>
          <w:rFonts w:cs="Arial"/>
          <w:color w:val="000000"/>
        </w:rPr>
        <w:t xml:space="preserve"> » et « </w:t>
      </w:r>
      <w:r w:rsidRPr="001D31E1">
        <w:rPr>
          <w:rFonts w:cs="Arial"/>
          <w:i/>
          <w:iCs/>
          <w:color w:val="000000"/>
        </w:rPr>
        <w:t xml:space="preserve">Services d’entretien du logement </w:t>
      </w:r>
      <w:r w:rsidRPr="001D31E1">
        <w:rPr>
          <w:rFonts w:cs="Arial"/>
          <w:color w:val="000000"/>
        </w:rPr>
        <w:t xml:space="preserve">». </w:t>
      </w:r>
    </w:p>
    <w:p w14:paraId="3C7D1159" w14:textId="77777777" w:rsidR="001D31E1" w:rsidRPr="001D31E1" w:rsidRDefault="001D31E1" w:rsidP="001D31E1">
      <w:pPr>
        <w:pStyle w:val="Titre2"/>
        <w:rPr>
          <w:rFonts w:asciiTheme="minorHAnsi" w:hAnsiTheme="minorHAnsi" w:cs="Arial"/>
          <w:color w:val="000000"/>
          <w:sz w:val="22"/>
          <w:szCs w:val="22"/>
        </w:rPr>
      </w:pPr>
      <w:r w:rsidRPr="001D31E1">
        <w:rPr>
          <w:rFonts w:asciiTheme="minorHAnsi" w:hAnsiTheme="minorHAnsi" w:cs="Arial"/>
          <w:color w:val="auto"/>
          <w:sz w:val="22"/>
          <w:szCs w:val="22"/>
        </w:rPr>
        <w:t xml:space="preserve">Mais l’IRL ne prend pas assez en compte le poids de l’entretien, de la construction, de l’énergie, </w:t>
      </w:r>
      <w:r w:rsidRPr="001D31E1">
        <w:rPr>
          <w:rFonts w:asciiTheme="minorHAnsi" w:hAnsiTheme="minorHAnsi" w:cs="Arial"/>
          <w:color w:val="000000"/>
          <w:sz w:val="22"/>
          <w:szCs w:val="22"/>
        </w:rPr>
        <w:t>des fluides et des services, dans le secteur des Foyers de jeunes travailleurs et résidences sociales. La différence sensible entre les indices composites et l’IRL tient en effet à la très faible pondération de dépenses spécifiques au secteur des foyers et résidences sociales dans l’IRL. Il est donc indispensable de revenir à un indice composite dans le secteur des foyers et résidences sociales.</w:t>
      </w:r>
    </w:p>
    <w:p w14:paraId="250F54A2" w14:textId="77777777" w:rsidR="001D31E1" w:rsidRPr="001D31E1" w:rsidRDefault="001D31E1" w:rsidP="001D31E1">
      <w:pPr>
        <w:rPr>
          <w:rFonts w:cs="Arial"/>
        </w:rPr>
      </w:pPr>
      <w:r w:rsidRPr="001D31E1">
        <w:rPr>
          <w:rFonts w:eastAsiaTheme="majorEastAsia" w:cs="Arial"/>
        </w:rPr>
        <w:t xml:space="preserve">Cet amendement propose donc de modifier l’article </w:t>
      </w:r>
      <w:r w:rsidRPr="001D31E1">
        <w:rPr>
          <w:rFonts w:cs="Arial"/>
        </w:rPr>
        <w:t xml:space="preserve">L 353-9-3 du code de la construction et de l’habitation. Les conséquences de cette réforme doivent </w:t>
      </w:r>
      <w:r w:rsidRPr="001D31E1">
        <w:rPr>
          <w:rFonts w:cs="Arial"/>
          <w:kern w:val="0"/>
        </w:rPr>
        <w:t xml:space="preserve">être compensées par une revalorisation de l’enveloppe dédiée aux aides au logement de XXX millions d’euros. </w:t>
      </w:r>
    </w:p>
    <w:p w14:paraId="582E8166" w14:textId="77777777" w:rsidR="001D31E1" w:rsidRPr="001D31E1" w:rsidRDefault="001D31E1" w:rsidP="001D31E1">
      <w:pPr>
        <w:autoSpaceDE w:val="0"/>
        <w:autoSpaceDN w:val="0"/>
        <w:adjustRightInd w:val="0"/>
        <w:spacing w:after="0" w:line="240" w:lineRule="auto"/>
        <w:jc w:val="both"/>
        <w:rPr>
          <w:rFonts w:cs="Arial"/>
          <w:color w:val="000000"/>
        </w:rPr>
      </w:pPr>
      <w:r w:rsidRPr="001D31E1">
        <w:rPr>
          <w:rFonts w:cs="Arial"/>
          <w:color w:val="000000"/>
        </w:rPr>
        <w:t xml:space="preserve">Le choc de l’offre de logements en résidences sociales reste économiquement accessible et politiquement nécessaire pour favoriser l’accès au logement des personnes vulnérables. </w:t>
      </w:r>
    </w:p>
    <w:p w14:paraId="49C7DA2F" w14:textId="70B4E772" w:rsidR="003941EA" w:rsidRDefault="001D31E1" w:rsidP="00200D94">
      <w:pPr>
        <w:autoSpaceDE w:val="0"/>
        <w:autoSpaceDN w:val="0"/>
        <w:adjustRightInd w:val="0"/>
        <w:spacing w:after="0" w:line="240" w:lineRule="auto"/>
      </w:pPr>
      <w:r w:rsidRPr="001D31E1">
        <w:rPr>
          <w:rFonts w:cs="Arial"/>
          <w:color w:val="000000"/>
        </w:rPr>
        <w:t xml:space="preserve"> </w:t>
      </w:r>
      <w:bookmarkEnd w:id="3"/>
    </w:p>
    <w:sectPr w:rsidR="003941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C5284" w14:textId="77777777" w:rsidR="00C262CB" w:rsidRDefault="00C262CB" w:rsidP="007A4ED3">
      <w:pPr>
        <w:spacing w:after="0" w:line="240" w:lineRule="auto"/>
      </w:pPr>
      <w:r>
        <w:separator/>
      </w:r>
    </w:p>
  </w:endnote>
  <w:endnote w:type="continuationSeparator" w:id="0">
    <w:p w14:paraId="05069289" w14:textId="77777777" w:rsidR="00C262CB" w:rsidRDefault="00C262CB" w:rsidP="007A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SansMT,Bold">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F339" w14:textId="77777777" w:rsidR="00C262CB" w:rsidRDefault="00C262CB" w:rsidP="007A4ED3">
      <w:pPr>
        <w:spacing w:after="0" w:line="240" w:lineRule="auto"/>
      </w:pPr>
      <w:r>
        <w:separator/>
      </w:r>
    </w:p>
  </w:footnote>
  <w:footnote w:type="continuationSeparator" w:id="0">
    <w:p w14:paraId="46CEC320" w14:textId="77777777" w:rsidR="00C262CB" w:rsidRDefault="00C262CB" w:rsidP="007A4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11AF"/>
    <w:multiLevelType w:val="hybridMultilevel"/>
    <w:tmpl w:val="5CBCF65E"/>
    <w:lvl w:ilvl="0" w:tplc="E96ED434">
      <w:start w:val="1"/>
      <w:numFmt w:val="bullet"/>
      <w:lvlText w:val="-"/>
      <w:lvlJc w:val="left"/>
      <w:pPr>
        <w:ind w:left="720" w:hanging="360"/>
      </w:pPr>
      <w:rPr>
        <w:rFonts w:ascii="GillSansMT,Bold" w:eastAsiaTheme="minorHAnsi" w:hAnsi="GillSansMT,Bold" w:cs="GillSansMT,Bold"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042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D3"/>
    <w:rsid w:val="001D31E1"/>
    <w:rsid w:val="00200D94"/>
    <w:rsid w:val="00232B03"/>
    <w:rsid w:val="003941EA"/>
    <w:rsid w:val="007A4ED3"/>
    <w:rsid w:val="00A37100"/>
    <w:rsid w:val="00C262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5C24"/>
  <w15:chartTrackingRefBased/>
  <w15:docId w15:val="{4D00637E-B31B-480C-A64E-9B2C5B4E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ED3"/>
  </w:style>
  <w:style w:type="paragraph" w:styleId="Titre1">
    <w:name w:val="heading 1"/>
    <w:basedOn w:val="Normal"/>
    <w:next w:val="Normal"/>
    <w:link w:val="Titre1Car"/>
    <w:uiPriority w:val="9"/>
    <w:qFormat/>
    <w:rsid w:val="007A4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A4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A4ED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A4ED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A4ED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A4E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4E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4E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4E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4E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A4E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A4E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A4E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A4E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A4E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4E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4E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4ED3"/>
    <w:rPr>
      <w:rFonts w:eastAsiaTheme="majorEastAsia" w:cstheme="majorBidi"/>
      <w:color w:val="272727" w:themeColor="text1" w:themeTint="D8"/>
    </w:rPr>
  </w:style>
  <w:style w:type="paragraph" w:styleId="Titre">
    <w:name w:val="Title"/>
    <w:basedOn w:val="Normal"/>
    <w:next w:val="Normal"/>
    <w:link w:val="TitreCar"/>
    <w:uiPriority w:val="10"/>
    <w:qFormat/>
    <w:rsid w:val="007A4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4E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4ED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4E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4ED3"/>
    <w:pPr>
      <w:spacing w:before="160"/>
      <w:jc w:val="center"/>
    </w:pPr>
    <w:rPr>
      <w:i/>
      <w:iCs/>
      <w:color w:val="404040" w:themeColor="text1" w:themeTint="BF"/>
    </w:rPr>
  </w:style>
  <w:style w:type="character" w:customStyle="1" w:styleId="CitationCar">
    <w:name w:val="Citation Car"/>
    <w:basedOn w:val="Policepardfaut"/>
    <w:link w:val="Citation"/>
    <w:uiPriority w:val="29"/>
    <w:rsid w:val="007A4ED3"/>
    <w:rPr>
      <w:i/>
      <w:iCs/>
      <w:color w:val="404040" w:themeColor="text1" w:themeTint="BF"/>
    </w:rPr>
  </w:style>
  <w:style w:type="paragraph" w:styleId="Paragraphedeliste">
    <w:name w:val="List Paragraph"/>
    <w:basedOn w:val="Normal"/>
    <w:uiPriority w:val="34"/>
    <w:qFormat/>
    <w:rsid w:val="007A4ED3"/>
    <w:pPr>
      <w:ind w:left="720"/>
      <w:contextualSpacing/>
    </w:pPr>
  </w:style>
  <w:style w:type="character" w:styleId="Accentuationintense">
    <w:name w:val="Intense Emphasis"/>
    <w:basedOn w:val="Policepardfaut"/>
    <w:uiPriority w:val="21"/>
    <w:qFormat/>
    <w:rsid w:val="007A4ED3"/>
    <w:rPr>
      <w:i/>
      <w:iCs/>
      <w:color w:val="0F4761" w:themeColor="accent1" w:themeShade="BF"/>
    </w:rPr>
  </w:style>
  <w:style w:type="paragraph" w:styleId="Citationintense">
    <w:name w:val="Intense Quote"/>
    <w:basedOn w:val="Normal"/>
    <w:next w:val="Normal"/>
    <w:link w:val="CitationintenseCar"/>
    <w:uiPriority w:val="30"/>
    <w:qFormat/>
    <w:rsid w:val="007A4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A4ED3"/>
    <w:rPr>
      <w:i/>
      <w:iCs/>
      <w:color w:val="0F4761" w:themeColor="accent1" w:themeShade="BF"/>
    </w:rPr>
  </w:style>
  <w:style w:type="character" w:styleId="Rfrenceintense">
    <w:name w:val="Intense Reference"/>
    <w:basedOn w:val="Policepardfaut"/>
    <w:uiPriority w:val="32"/>
    <w:qFormat/>
    <w:rsid w:val="007A4ED3"/>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7A4ED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A4ED3"/>
    <w:rPr>
      <w:sz w:val="20"/>
      <w:szCs w:val="20"/>
    </w:rPr>
  </w:style>
  <w:style w:type="character" w:styleId="Appelnotedebasdep">
    <w:name w:val="footnote reference"/>
    <w:basedOn w:val="Policepardfaut"/>
    <w:uiPriority w:val="99"/>
    <w:semiHidden/>
    <w:unhideWhenUsed/>
    <w:rsid w:val="007A4E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359</Words>
  <Characters>1976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 BROCA</dc:creator>
  <cp:keywords/>
  <dc:description/>
  <cp:lastModifiedBy>Arnaud de BROCA</cp:lastModifiedBy>
  <cp:revision>2</cp:revision>
  <dcterms:created xsi:type="dcterms:W3CDTF">2025-10-15T12:31:00Z</dcterms:created>
  <dcterms:modified xsi:type="dcterms:W3CDTF">2025-10-15T13:28:00Z</dcterms:modified>
</cp:coreProperties>
</file>