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7D6F" w14:textId="77777777" w:rsidR="00BD5FDB" w:rsidRPr="00BD5FDB" w:rsidRDefault="00BD5FDB" w:rsidP="00BD5FDB">
      <w:pPr>
        <w:rPr>
          <w:b/>
          <w:bCs/>
        </w:rPr>
      </w:pPr>
      <w:bookmarkStart w:id="0" w:name="_Toc210830591"/>
      <w:r w:rsidRPr="00BD5FDB">
        <w:rPr>
          <w:b/>
          <w:bCs/>
        </w:rPr>
        <w:t>Proposition d’amendement : maintenir les aides d’investissement d’Etat pour produire des logements sociaux afin de répondre à la demande grandissante et respecter les objectifs de la stratégie nationale du « Logement d’abord »</w:t>
      </w:r>
      <w:bookmarkEnd w:id="0"/>
    </w:p>
    <w:p w14:paraId="1D2FD3A2" w14:textId="77777777" w:rsidR="00BD5FDB" w:rsidRPr="0023604E" w:rsidRDefault="00BD5FDB" w:rsidP="00BD5FDB">
      <w:pPr>
        <w:spacing w:before="60" w:afterLines="60" w:after="144" w:line="22" w:lineRule="atLeast"/>
        <w:rPr>
          <w:rFonts w:ascii="Arial" w:hAnsi="Arial" w:cs="Arial"/>
          <w:b/>
          <w:sz w:val="24"/>
        </w:rPr>
      </w:pPr>
    </w:p>
    <w:p w14:paraId="4ED6AC31" w14:textId="77777777" w:rsidR="00BD5FDB" w:rsidRDefault="00BD5FDB" w:rsidP="00BD5FDB">
      <w:pPr>
        <w:spacing w:before="60" w:afterLines="60" w:after="144" w:line="22" w:lineRule="atLeast"/>
        <w:rPr>
          <w:rFonts w:asciiTheme="majorHAnsi" w:hAnsiTheme="majorHAnsi"/>
        </w:rPr>
      </w:pPr>
    </w:p>
    <w:p w14:paraId="1C98B270" w14:textId="77777777" w:rsidR="00BD5FDB" w:rsidRDefault="00BD5FDB" w:rsidP="00BD5FDB">
      <w:pPr>
        <w:spacing w:before="60" w:afterLines="60" w:after="144" w:line="22" w:lineRule="atLeast"/>
        <w:rPr>
          <w:rFonts w:asciiTheme="majorHAnsi" w:hAnsiTheme="majorHAnsi"/>
          <w:b/>
          <w:bCs/>
        </w:rPr>
      </w:pPr>
      <w:r w:rsidRPr="00151BBC">
        <w:rPr>
          <w:rFonts w:asciiTheme="majorHAnsi" w:hAnsiTheme="majorHAnsi"/>
          <w:b/>
          <w:bCs/>
        </w:rPr>
        <w:t xml:space="preserve">ART. </w:t>
      </w:r>
      <w:r w:rsidRPr="008A597A">
        <w:rPr>
          <w:rFonts w:asciiTheme="majorHAnsi" w:hAnsiTheme="majorHAnsi"/>
          <w:b/>
          <w:bCs/>
          <w:highlight w:val="yellow"/>
        </w:rPr>
        <w:t>XX</w:t>
      </w:r>
    </w:p>
    <w:p w14:paraId="290235FA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151BBC">
        <w:rPr>
          <w:rFonts w:asciiTheme="majorHAnsi" w:hAnsiTheme="majorHAnsi"/>
          <w:b/>
          <w:bCs/>
        </w:rPr>
        <w:t>N°</w:t>
      </w:r>
    </w:p>
    <w:p w14:paraId="54DD6FA4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151BBC">
        <w:rPr>
          <w:rFonts w:asciiTheme="majorHAnsi" w:hAnsiTheme="majorHAnsi"/>
          <w:b/>
          <w:bCs/>
        </w:rPr>
        <w:t>ASSEMBLÉE NATIONALE</w:t>
      </w:r>
    </w:p>
    <w:p w14:paraId="4E10CCC8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8A597A">
        <w:rPr>
          <w:rFonts w:asciiTheme="majorHAnsi" w:hAnsiTheme="majorHAnsi"/>
          <w:highlight w:val="yellow"/>
        </w:rPr>
        <w:t>XX</w:t>
      </w:r>
      <w:r w:rsidRPr="00151BB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octobre</w:t>
      </w:r>
      <w:r w:rsidRPr="00151BBC">
        <w:rPr>
          <w:rFonts w:asciiTheme="majorHAnsi" w:hAnsiTheme="majorHAnsi"/>
        </w:rPr>
        <w:t xml:space="preserve"> 202</w:t>
      </w:r>
      <w:r>
        <w:rPr>
          <w:rFonts w:asciiTheme="majorHAnsi" w:hAnsiTheme="majorHAnsi"/>
        </w:rPr>
        <w:t>5</w:t>
      </w:r>
    </w:p>
    <w:p w14:paraId="758CE534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</w:p>
    <w:p w14:paraId="3941DFD9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151BBC">
        <w:rPr>
          <w:rFonts w:asciiTheme="majorHAnsi" w:hAnsiTheme="majorHAnsi"/>
          <w:noProof/>
        </w:rPr>
        <w:drawing>
          <wp:inline distT="0" distB="0" distL="0" distR="0" wp14:anchorId="16CFD6F3" wp14:editId="3E75F514">
            <wp:extent cx="5760720" cy="29845"/>
            <wp:effectExtent l="0" t="0" r="0" b="8255"/>
            <wp:docPr id="1212161640" name="Image 4" descr="Fo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474C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</w:p>
    <w:p w14:paraId="29FD02AE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151BBC">
        <w:rPr>
          <w:rFonts w:asciiTheme="majorHAnsi" w:hAnsiTheme="majorHAnsi"/>
        </w:rPr>
        <w:t>PLF POUR 202</w:t>
      </w:r>
      <w:r>
        <w:rPr>
          <w:rFonts w:asciiTheme="majorHAnsi" w:hAnsiTheme="majorHAnsi"/>
        </w:rPr>
        <w:t>6</w:t>
      </w:r>
      <w:r w:rsidRPr="00151BBC">
        <w:rPr>
          <w:rFonts w:asciiTheme="majorHAnsi" w:hAnsiTheme="majorHAnsi"/>
        </w:rPr>
        <w:t xml:space="preserve"> - (N°)</w:t>
      </w:r>
    </w:p>
    <w:p w14:paraId="6A5C9F68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</w:p>
    <w:p w14:paraId="7E5C3C95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asciiTheme="majorHAnsi" w:hAnsiTheme="majorHAnsi"/>
        </w:rPr>
      </w:pPr>
      <w:r w:rsidRPr="00151BBC">
        <w:rPr>
          <w:rFonts w:asciiTheme="majorHAnsi" w:hAnsiTheme="majorHAnsi"/>
          <w:b/>
          <w:bCs/>
        </w:rPr>
        <w:t>AMENDEMENT</w:t>
      </w:r>
    </w:p>
    <w:p w14:paraId="338D1E3C" w14:textId="77777777" w:rsidR="00BD5FDB" w:rsidRPr="00151BBC" w:rsidRDefault="00BD5FDB" w:rsidP="00BD5FDB">
      <w:pPr>
        <w:spacing w:before="60" w:afterLines="60" w:after="144" w:line="22" w:lineRule="atLeast"/>
        <w:jc w:val="center"/>
      </w:pPr>
      <w:proofErr w:type="gramStart"/>
      <w:r w:rsidRPr="00151BBC">
        <w:t>présenté</w:t>
      </w:r>
      <w:proofErr w:type="gramEnd"/>
      <w:r w:rsidRPr="00151BBC">
        <w:t xml:space="preserve"> par</w:t>
      </w:r>
    </w:p>
    <w:p w14:paraId="47CDB23F" w14:textId="77777777" w:rsidR="00BD5FDB" w:rsidRPr="00151BBC" w:rsidRDefault="00BD5FDB" w:rsidP="00BD5FDB">
      <w:pPr>
        <w:spacing w:before="60" w:afterLines="60" w:after="144" w:line="22" w:lineRule="atLeast"/>
        <w:jc w:val="center"/>
      </w:pPr>
    </w:p>
    <w:p w14:paraId="393BFB8C" w14:textId="77777777" w:rsidR="00BD5FDB" w:rsidRPr="00151BBC" w:rsidRDefault="00BD5FDB" w:rsidP="00BD5FDB">
      <w:pPr>
        <w:spacing w:before="60" w:afterLines="60" w:after="144" w:line="22" w:lineRule="atLeast"/>
        <w:jc w:val="center"/>
      </w:pPr>
      <w:r w:rsidRPr="00151BBC">
        <w:t>--------------------------------</w:t>
      </w:r>
    </w:p>
    <w:p w14:paraId="4D2DE979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sz w:val="21"/>
          <w:szCs w:val="21"/>
        </w:rPr>
      </w:pPr>
      <w:r w:rsidRPr="00151BBC">
        <w:rPr>
          <w:rFonts w:cs="Arial"/>
          <w:b/>
          <w:bCs/>
          <w:sz w:val="21"/>
          <w:szCs w:val="21"/>
        </w:rPr>
        <w:t xml:space="preserve">ARTICLE </w:t>
      </w:r>
      <w:r w:rsidRPr="008A597A">
        <w:rPr>
          <w:rFonts w:cs="Arial"/>
          <w:b/>
          <w:bCs/>
          <w:sz w:val="21"/>
          <w:szCs w:val="21"/>
          <w:highlight w:val="yellow"/>
        </w:rPr>
        <w:t>XX</w:t>
      </w:r>
    </w:p>
    <w:p w14:paraId="7562A8F6" w14:textId="77777777" w:rsidR="00BD5FDB" w:rsidRPr="00151BBC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sz w:val="21"/>
          <w:szCs w:val="21"/>
        </w:rPr>
      </w:pPr>
      <w:r w:rsidRPr="00A45EB0">
        <w:rPr>
          <w:rFonts w:cs="Arial"/>
          <w:b/>
          <w:bCs/>
          <w:sz w:val="21"/>
          <w:szCs w:val="21"/>
        </w:rPr>
        <w:t>É</w:t>
      </w:r>
      <w:r>
        <w:rPr>
          <w:rFonts w:cs="Arial"/>
          <w:b/>
          <w:bCs/>
          <w:sz w:val="21"/>
          <w:szCs w:val="21"/>
        </w:rPr>
        <w:t>TAT B</w:t>
      </w:r>
    </w:p>
    <w:p w14:paraId="64F8D5AF" w14:textId="77777777" w:rsidR="00BD5FDB" w:rsidRPr="00B95D02" w:rsidRDefault="00BD5FDB" w:rsidP="00BD5FDB">
      <w:pPr>
        <w:pStyle w:val="Corpsdetexte"/>
        <w:spacing w:before="60" w:afterLines="60" w:after="144" w:line="22" w:lineRule="atLeast"/>
        <w:jc w:val="center"/>
        <w:rPr>
          <w:rFonts w:asciiTheme="minorHAnsi" w:hAnsiTheme="minorHAnsi" w:cs="Arial"/>
          <w:b/>
          <w:bCs/>
          <w:iCs/>
          <w:szCs w:val="28"/>
        </w:rPr>
      </w:pPr>
      <w:r w:rsidRPr="00B95D02">
        <w:rPr>
          <w:rFonts w:asciiTheme="minorHAnsi" w:hAnsiTheme="minorHAnsi" w:cs="Arial"/>
          <w:b/>
          <w:bCs/>
          <w:iCs/>
          <w:szCs w:val="28"/>
        </w:rPr>
        <w:t>Mission</w:t>
      </w:r>
      <w:r w:rsidRPr="00B95D02">
        <w:rPr>
          <w:rFonts w:asciiTheme="minorHAnsi" w:hAnsiTheme="minorHAnsi" w:cs="Arial"/>
          <w:b/>
          <w:bCs/>
          <w:iCs/>
          <w:spacing w:val="-5"/>
          <w:szCs w:val="28"/>
        </w:rPr>
        <w:t xml:space="preserve"> </w:t>
      </w:r>
      <w:r w:rsidRPr="00B95D02">
        <w:rPr>
          <w:rFonts w:asciiTheme="minorHAnsi" w:hAnsiTheme="minorHAnsi" w:cs="Arial"/>
          <w:b/>
          <w:bCs/>
          <w:iCs/>
          <w:szCs w:val="28"/>
        </w:rPr>
        <w:t>« Cohésion des territoires »</w:t>
      </w:r>
    </w:p>
    <w:p w14:paraId="2C716C2E" w14:textId="77777777" w:rsidR="00BD5FDB" w:rsidRDefault="00BD5FDB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301D979E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276FC5A2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6EBF3A2E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4AF39AE1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7BC8FF19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43AE4FDA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00B2AC63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52BF7CF9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4D152961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41A52CC8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2464B70E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1904B078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71036239" w14:textId="77777777" w:rsidR="008C2E9A" w:rsidRDefault="008C2E9A" w:rsidP="00BD5FDB">
      <w:pPr>
        <w:spacing w:before="60" w:afterLines="60" w:after="144" w:line="22" w:lineRule="atLeast"/>
        <w:jc w:val="both"/>
        <w:rPr>
          <w:rFonts w:cs="Arial"/>
          <w:iCs/>
        </w:rPr>
      </w:pPr>
    </w:p>
    <w:p w14:paraId="164FE280" w14:textId="77777777" w:rsidR="00BD5FDB" w:rsidRPr="00B95D02" w:rsidRDefault="00BD5FDB" w:rsidP="00BD5FDB">
      <w:pPr>
        <w:spacing w:before="60" w:afterLines="60" w:after="144" w:line="22" w:lineRule="atLeast"/>
        <w:jc w:val="both"/>
        <w:rPr>
          <w:rFonts w:cs="Arial"/>
          <w:iCs/>
        </w:rPr>
      </w:pPr>
      <w:r w:rsidRPr="00B95D02">
        <w:rPr>
          <w:rFonts w:cs="Arial"/>
          <w:iCs/>
        </w:rPr>
        <w:lastRenderedPageBreak/>
        <w:t>Modifier</w:t>
      </w:r>
      <w:r w:rsidRPr="00B95D02">
        <w:rPr>
          <w:rFonts w:cs="Arial"/>
          <w:iCs/>
          <w:spacing w:val="-3"/>
        </w:rPr>
        <w:t xml:space="preserve"> </w:t>
      </w:r>
      <w:r w:rsidRPr="00B95D02">
        <w:rPr>
          <w:rFonts w:cs="Arial"/>
          <w:iCs/>
        </w:rPr>
        <w:t>ainsi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les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autorisations</w:t>
      </w:r>
      <w:r w:rsidRPr="00B95D02">
        <w:rPr>
          <w:rFonts w:cs="Arial"/>
          <w:iCs/>
          <w:spacing w:val="-3"/>
        </w:rPr>
        <w:t xml:space="preserve"> </w:t>
      </w:r>
      <w:r w:rsidRPr="00B95D02">
        <w:rPr>
          <w:rFonts w:cs="Arial"/>
          <w:iCs/>
        </w:rPr>
        <w:t>d’engagement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et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les</w:t>
      </w:r>
      <w:r w:rsidRPr="00B95D02">
        <w:rPr>
          <w:rFonts w:cs="Arial"/>
          <w:iCs/>
          <w:spacing w:val="-3"/>
        </w:rPr>
        <w:t xml:space="preserve"> </w:t>
      </w:r>
      <w:r w:rsidRPr="00B95D02">
        <w:rPr>
          <w:rFonts w:cs="Arial"/>
          <w:iCs/>
        </w:rPr>
        <w:t>crédits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de</w:t>
      </w:r>
      <w:r w:rsidRPr="00B95D02">
        <w:rPr>
          <w:rFonts w:cs="Arial"/>
          <w:iCs/>
          <w:spacing w:val="-2"/>
        </w:rPr>
        <w:t xml:space="preserve"> </w:t>
      </w:r>
      <w:r w:rsidRPr="00B95D02">
        <w:rPr>
          <w:rFonts w:cs="Arial"/>
          <w:iCs/>
        </w:rPr>
        <w:t>paiement :</w:t>
      </w:r>
    </w:p>
    <w:p w14:paraId="11B10E69" w14:textId="77777777" w:rsidR="00BD5FDB" w:rsidRPr="008A597A" w:rsidRDefault="00BD5FDB" w:rsidP="00BD5FDB">
      <w:pPr>
        <w:spacing w:before="60" w:afterLines="60" w:after="144" w:line="22" w:lineRule="atLeast"/>
        <w:jc w:val="right"/>
        <w:rPr>
          <w:rFonts w:cs="Arial"/>
          <w:i/>
        </w:rPr>
      </w:pPr>
      <w:r w:rsidRPr="00B95D02">
        <w:rPr>
          <w:rFonts w:cs="Arial"/>
          <w:i/>
        </w:rPr>
        <w:t xml:space="preserve"> (</w:t>
      </w:r>
      <w:proofErr w:type="gramStart"/>
      <w:r w:rsidRPr="00B95D02">
        <w:rPr>
          <w:rFonts w:cs="Arial"/>
          <w:i/>
        </w:rPr>
        <w:t>en</w:t>
      </w:r>
      <w:proofErr w:type="gramEnd"/>
      <w:r w:rsidRPr="00B95D02">
        <w:rPr>
          <w:rFonts w:cs="Arial"/>
          <w:i/>
        </w:rPr>
        <w:t xml:space="preserve"> euros)</w:t>
      </w:r>
    </w:p>
    <w:tbl>
      <w:tblPr>
        <w:tblStyle w:val="Grilledutableau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843"/>
      </w:tblGrid>
      <w:tr w:rsidR="00BD5FDB" w14:paraId="12029093" w14:textId="77777777" w:rsidTr="00C30F81">
        <w:tc>
          <w:tcPr>
            <w:tcW w:w="4815" w:type="dxa"/>
          </w:tcPr>
          <w:p w14:paraId="508297AD" w14:textId="77777777" w:rsidR="00BD5FDB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Programmes</w:t>
            </w:r>
          </w:p>
        </w:tc>
        <w:tc>
          <w:tcPr>
            <w:tcW w:w="1701" w:type="dxa"/>
          </w:tcPr>
          <w:p w14:paraId="3D01B744" w14:textId="77777777" w:rsidR="00BD5FDB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14:paraId="05E0895E" w14:textId="77777777" w:rsidR="00BD5FDB" w:rsidRPr="00410595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410595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BD5FDB" w14:paraId="57ADD5B5" w14:textId="77777777" w:rsidTr="00C30F81">
        <w:tc>
          <w:tcPr>
            <w:tcW w:w="4815" w:type="dxa"/>
          </w:tcPr>
          <w:p w14:paraId="07711E70" w14:textId="77777777" w:rsidR="00BD5FDB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Hébergement, parcours vers le logement et insertion des personnes vulnérables</w:t>
            </w:r>
          </w:p>
          <w:p w14:paraId="19A969A9" w14:textId="77777777" w:rsidR="00BD5FDB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Aide à l’accès au logement</w:t>
            </w:r>
          </w:p>
          <w:p w14:paraId="13472A00" w14:textId="77777777" w:rsidR="00BD5FDB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Urbanisme, territoires et amélioration de l'habitat</w:t>
            </w:r>
          </w:p>
          <w:p w14:paraId="2C22FEEB" w14:textId="77777777" w:rsidR="00BD5FDB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Impulsion et coordination de la politique d'aménagement du territoire</w:t>
            </w:r>
          </w:p>
          <w:p w14:paraId="559A4AB2" w14:textId="77777777" w:rsidR="00BD5FDB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Politique de la ville</w:t>
            </w:r>
          </w:p>
          <w:p w14:paraId="1B3079E4" w14:textId="77777777" w:rsidR="00BD5FDB" w:rsidRPr="008A597A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Interventions territoriales de l’Etat</w:t>
            </w:r>
          </w:p>
        </w:tc>
        <w:tc>
          <w:tcPr>
            <w:tcW w:w="1701" w:type="dxa"/>
          </w:tcPr>
          <w:p w14:paraId="2DC0D088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590CCDCB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B3FBD29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3748B49F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62</w:t>
            </w: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 xml:space="preserve"> 000 000</w:t>
            </w:r>
          </w:p>
          <w:p w14:paraId="7B4612B9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A4930AD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74DD4538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7B57685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3790ABDA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41D9460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410595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3DD1F9F9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B6F89CB" w14:textId="77777777" w:rsidR="00BD5FDB" w:rsidRPr="008A597A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62</w:t>
            </w: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 xml:space="preserve"> 000 000</w:t>
            </w:r>
          </w:p>
          <w:p w14:paraId="4105FD66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1DD704EE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CE4CDE4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50BB7CD8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3B13C37" w14:textId="77777777" w:rsidR="00BD5FDB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  <w:p w14:paraId="015FEA58" w14:textId="77777777" w:rsidR="00BD5FDB" w:rsidRPr="00410595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BD5FDB" w14:paraId="3C021C8D" w14:textId="77777777" w:rsidTr="00C30F81">
        <w:tc>
          <w:tcPr>
            <w:tcW w:w="4815" w:type="dxa"/>
          </w:tcPr>
          <w:p w14:paraId="42EC733F" w14:textId="77777777" w:rsidR="00BD5FDB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TOTAUX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0E0BCF" w14:textId="77777777" w:rsidR="00BD5FDB" w:rsidRPr="00410595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62</w:t>
            </w: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 xml:space="preserve"> 000 000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E7C876" w14:textId="77777777" w:rsidR="00BD5FDB" w:rsidRPr="00410595" w:rsidRDefault="00BD5FDB" w:rsidP="00C30F81">
            <w:pPr>
              <w:spacing w:before="60" w:afterLines="60" w:after="144" w:line="22" w:lineRule="atLeast"/>
              <w:jc w:val="right"/>
              <w:rPr>
                <w:rFonts w:cs="Arial"/>
                <w:color w:val="000000" w:themeColor="text1"/>
                <w:sz w:val="24"/>
                <w:szCs w:val="24"/>
              </w:rPr>
            </w:pP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62</w:t>
            </w:r>
            <w:r w:rsidRPr="008A597A">
              <w:rPr>
                <w:rFonts w:cs="Arial"/>
                <w:color w:val="000000" w:themeColor="text1"/>
                <w:sz w:val="24"/>
                <w:szCs w:val="24"/>
              </w:rPr>
              <w:t xml:space="preserve"> 000 000</w:t>
            </w:r>
          </w:p>
        </w:tc>
      </w:tr>
      <w:tr w:rsidR="00BD5FDB" w14:paraId="71D49734" w14:textId="77777777" w:rsidTr="00C30F81">
        <w:tc>
          <w:tcPr>
            <w:tcW w:w="4815" w:type="dxa"/>
          </w:tcPr>
          <w:p w14:paraId="380E2437" w14:textId="77777777" w:rsidR="00BD5FDB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SOLDE</w:t>
            </w:r>
          </w:p>
        </w:tc>
        <w:tc>
          <w:tcPr>
            <w:tcW w:w="1701" w:type="dxa"/>
            <w:tcBorders>
              <w:right w:val="nil"/>
            </w:tcBorders>
          </w:tcPr>
          <w:p w14:paraId="11902767" w14:textId="77777777" w:rsidR="00BD5FDB" w:rsidRDefault="00BD5FDB" w:rsidP="00C30F81">
            <w:pPr>
              <w:spacing w:before="60" w:afterLines="60" w:after="144" w:line="22" w:lineRule="atLeast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62445097" w14:textId="77777777" w:rsidR="00BD5FDB" w:rsidRPr="00410595" w:rsidRDefault="00BD5FDB" w:rsidP="00C30F81">
            <w:pPr>
              <w:spacing w:before="60" w:afterLines="60" w:after="144" w:line="22" w:lineRule="atLeast"/>
              <w:rPr>
                <w:rFonts w:cs="Arial"/>
                <w:color w:val="000000" w:themeColor="text1"/>
                <w:sz w:val="24"/>
                <w:szCs w:val="24"/>
              </w:rPr>
            </w:pPr>
            <w:r w:rsidRPr="00410595">
              <w:rPr>
                <w:rFonts w:cs="Arial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3B9AABE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04D7F074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6B3032CF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331A1088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09F90973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31EC44AA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5012F6F6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029926F8" w14:textId="77777777" w:rsidR="00BD5FDB" w:rsidRDefault="00BD5FDB" w:rsidP="00BD5FDB">
      <w:pPr>
        <w:spacing w:before="60" w:afterLines="60" w:after="144" w:line="22" w:lineRule="atLeast"/>
        <w:rPr>
          <w:rFonts w:cs="Arial"/>
          <w:b/>
          <w:bCs/>
          <w:color w:val="000000" w:themeColor="text1"/>
          <w:sz w:val="24"/>
          <w:szCs w:val="24"/>
        </w:rPr>
      </w:pPr>
    </w:p>
    <w:p w14:paraId="4878A546" w14:textId="77777777" w:rsidR="00BD5FDB" w:rsidRDefault="00BD5FDB" w:rsidP="00BD5FDB">
      <w:pPr>
        <w:spacing w:before="60" w:afterLines="60" w:after="144" w:line="22" w:lineRule="atLeast"/>
        <w:rPr>
          <w:rFonts w:cs="Arial"/>
          <w:b/>
          <w:bCs/>
          <w:color w:val="000000" w:themeColor="text1"/>
          <w:sz w:val="24"/>
          <w:szCs w:val="24"/>
        </w:rPr>
      </w:pPr>
    </w:p>
    <w:p w14:paraId="57695C93" w14:textId="77777777" w:rsidR="00BD5FDB" w:rsidRDefault="00BD5FDB" w:rsidP="00BD5FDB">
      <w:pPr>
        <w:spacing w:before="60" w:afterLines="60" w:after="144" w:line="22" w:lineRule="atLeast"/>
        <w:rPr>
          <w:rFonts w:cs="Arial"/>
          <w:b/>
          <w:bCs/>
          <w:color w:val="000000" w:themeColor="text1"/>
          <w:sz w:val="24"/>
          <w:szCs w:val="24"/>
        </w:rPr>
      </w:pPr>
    </w:p>
    <w:p w14:paraId="001164B3" w14:textId="77777777" w:rsidR="00BD5FDB" w:rsidRDefault="00BD5FDB" w:rsidP="00BD5FDB">
      <w:pPr>
        <w:spacing w:before="60" w:afterLines="60" w:after="144" w:line="22" w:lineRule="atLeast"/>
        <w:rPr>
          <w:rFonts w:cs="Arial"/>
          <w:b/>
          <w:bCs/>
          <w:color w:val="000000" w:themeColor="text1"/>
          <w:sz w:val="24"/>
          <w:szCs w:val="24"/>
        </w:rPr>
      </w:pPr>
    </w:p>
    <w:p w14:paraId="3650CCB8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54CA7055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75444AE9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57FACB46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4B55155F" w14:textId="77777777" w:rsidR="00BD5FDB" w:rsidRDefault="00BD5FDB" w:rsidP="00BD5FDB">
      <w:pPr>
        <w:spacing w:before="60" w:afterLines="60" w:after="144" w:line="22" w:lineRule="atLeast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EXPOS</w:t>
      </w:r>
      <w:r w:rsidRPr="008A597A">
        <w:rPr>
          <w:rFonts w:cs="Arial"/>
          <w:b/>
          <w:bCs/>
          <w:color w:val="000000" w:themeColor="text1"/>
          <w:sz w:val="24"/>
          <w:szCs w:val="24"/>
        </w:rPr>
        <w:t>É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SOMMAIRE</w:t>
      </w:r>
    </w:p>
    <w:p w14:paraId="1A21A84B" w14:textId="77777777" w:rsidR="00BD5FDB" w:rsidRDefault="00BD5FDB" w:rsidP="00BD5FDB">
      <w:pPr>
        <w:spacing w:before="60" w:afterLines="60" w:after="144" w:line="22" w:lineRule="atLeast"/>
        <w:jc w:val="both"/>
      </w:pPr>
    </w:p>
    <w:p w14:paraId="1842035D" w14:textId="77777777" w:rsidR="00BD5FDB" w:rsidRDefault="00BD5FDB" w:rsidP="00BD5FDB">
      <w:pPr>
        <w:spacing w:before="60" w:afterLines="60" w:after="144" w:line="22" w:lineRule="atLeast"/>
        <w:jc w:val="both"/>
      </w:pPr>
      <w:r>
        <w:t>Dans un contexte où la production de logements sociaux diminue fortement (baisse de 31 % entre 2016 et 2024) et où le nombre de demandeurs est toujours plus important (2,7 millions</w:t>
      </w:r>
      <w:r w:rsidRPr="000C7575">
        <w:t xml:space="preserve"> de ménages au premier semestre 2024), </w:t>
      </w:r>
      <w:r>
        <w:t xml:space="preserve">il est indispensable de conserver le mécanisme des « aides à la pierre » en abondant le Fonds national des aides à la pierre (FNAP). Ce dernier permet de financer la production de nouveaux logements sociaux et contribue à la rénovation énergétique du parc social. </w:t>
      </w:r>
    </w:p>
    <w:p w14:paraId="3787D084" w14:textId="77777777" w:rsidR="00BD5FDB" w:rsidRDefault="00BD5FDB" w:rsidP="00BD5FDB">
      <w:pPr>
        <w:spacing w:before="60" w:afterLines="60" w:after="144" w:line="22" w:lineRule="atLeast"/>
        <w:jc w:val="both"/>
      </w:pPr>
      <w:r>
        <w:t xml:space="preserve">Les aides d’investissement de l’Etat doivent notamment permettre </w:t>
      </w:r>
      <w:r w:rsidRPr="00FB476B">
        <w:t xml:space="preserve">la production de logements sociaux et très sociaux, </w:t>
      </w:r>
      <w:r>
        <w:t xml:space="preserve">particulièrement </w:t>
      </w:r>
      <w:r w:rsidRPr="00FB476B">
        <w:t xml:space="preserve">en </w:t>
      </w:r>
      <w:proofErr w:type="spellStart"/>
      <w:r w:rsidRPr="00FB476B">
        <w:t>PLAi</w:t>
      </w:r>
      <w:proofErr w:type="spellEnd"/>
      <w:r w:rsidRPr="00FB476B">
        <w:t xml:space="preserve"> et </w:t>
      </w:r>
      <w:proofErr w:type="spellStart"/>
      <w:r w:rsidRPr="00FB476B">
        <w:t>PLAi</w:t>
      </w:r>
      <w:proofErr w:type="spellEnd"/>
      <w:r w:rsidRPr="00FB476B">
        <w:t xml:space="preserve"> adaptés</w:t>
      </w:r>
      <w:r>
        <w:t>. Il s’agit d’</w:t>
      </w:r>
      <w:r w:rsidRPr="00FB476B">
        <w:t xml:space="preserve">un enjeu prioritaire des </w:t>
      </w:r>
      <w:r w:rsidRPr="00410BBD">
        <w:rPr>
          <w:b/>
          <w:bCs/>
        </w:rPr>
        <w:t>plans gouvernementaux Logement d’Abord</w:t>
      </w:r>
      <w:r w:rsidRPr="00FB476B">
        <w:t>, le premier plan quinquennal ayant fixé l’objectif (jamais atteint) de 40 000</w:t>
      </w:r>
      <w:r>
        <w:t xml:space="preserve"> logements</w:t>
      </w:r>
      <w:r w:rsidRPr="00FB476B">
        <w:t xml:space="preserve"> </w:t>
      </w:r>
      <w:proofErr w:type="spellStart"/>
      <w:r w:rsidRPr="00FB476B">
        <w:t>PLA</w:t>
      </w:r>
      <w:r>
        <w:t>i</w:t>
      </w:r>
      <w:proofErr w:type="spellEnd"/>
      <w:r w:rsidRPr="00FB476B">
        <w:t xml:space="preserve"> par an.</w:t>
      </w:r>
      <w:r>
        <w:t xml:space="preserve"> </w:t>
      </w:r>
      <w:r w:rsidRPr="00842732">
        <w:rPr>
          <w:b/>
          <w:bCs/>
        </w:rPr>
        <w:t>Aujourd’hui,</w:t>
      </w:r>
      <w:r>
        <w:t xml:space="preserve"> </w:t>
      </w:r>
      <w:r w:rsidRPr="00410BBD">
        <w:rPr>
          <w:b/>
          <w:bCs/>
        </w:rPr>
        <w:t>ce sont les logements les plus sociaux (</w:t>
      </w:r>
      <w:proofErr w:type="spellStart"/>
      <w:r w:rsidRPr="00410BBD">
        <w:rPr>
          <w:b/>
          <w:bCs/>
        </w:rPr>
        <w:t>PLA</w:t>
      </w:r>
      <w:r>
        <w:rPr>
          <w:b/>
          <w:bCs/>
        </w:rPr>
        <w:t>i</w:t>
      </w:r>
      <w:proofErr w:type="spellEnd"/>
      <w:r w:rsidRPr="00410BBD">
        <w:rPr>
          <w:b/>
          <w:bCs/>
        </w:rPr>
        <w:t>) qui sont le moins produits</w:t>
      </w:r>
      <w:r>
        <w:t xml:space="preserve"> : leur nombre </w:t>
      </w:r>
      <w:r w:rsidRPr="00FB476B">
        <w:t>d’agréments, inférieur à 26 000 en 2024, est au plus bas depuis… 2011.</w:t>
      </w:r>
      <w:r>
        <w:t xml:space="preserve"> </w:t>
      </w:r>
    </w:p>
    <w:p w14:paraId="70572799" w14:textId="77777777" w:rsidR="00BD5FDB" w:rsidRDefault="00BD5FDB" w:rsidP="00BD5FDB">
      <w:pPr>
        <w:spacing w:before="60" w:afterLines="60" w:after="144" w:line="22" w:lineRule="atLeast"/>
        <w:jc w:val="both"/>
      </w:pPr>
      <w:r>
        <w:t xml:space="preserve">Le </w:t>
      </w:r>
      <w:proofErr w:type="spellStart"/>
      <w:r>
        <w:t>Fnap</w:t>
      </w:r>
      <w:proofErr w:type="spellEnd"/>
      <w:r>
        <w:t>, établissement public créé en 2016 autour d’une gouvernance tripartite réunissant l’Etat, les collectivités territoriales et les bailleurs sociaux, était à l’origine alimenté :</w:t>
      </w:r>
    </w:p>
    <w:p w14:paraId="5A971C01" w14:textId="77777777" w:rsidR="00BD5FDB" w:rsidRDefault="00BD5FDB" w:rsidP="00BD5FDB">
      <w:pPr>
        <w:pStyle w:val="Paragraphedeliste"/>
        <w:numPr>
          <w:ilvl w:val="0"/>
          <w:numId w:val="1"/>
        </w:numPr>
        <w:spacing w:before="60" w:afterLines="60" w:after="144" w:line="22" w:lineRule="atLeast"/>
      </w:pPr>
      <w:r w:rsidRPr="00F27EF4">
        <w:t>Par les bailleurs sociaux via une fraction des contributions versées à la Caisse de Garantie du Logement Locatif Social (article L435-1 Code de la construction et de l’habitation)</w:t>
      </w:r>
      <w:r>
        <w:t> ;</w:t>
      </w:r>
    </w:p>
    <w:p w14:paraId="721A4347" w14:textId="77777777" w:rsidR="00BD5FDB" w:rsidRDefault="00BD5FDB" w:rsidP="00BD5FDB">
      <w:pPr>
        <w:pStyle w:val="Paragraphedeliste"/>
        <w:numPr>
          <w:ilvl w:val="0"/>
          <w:numId w:val="1"/>
        </w:numPr>
        <w:spacing w:before="60" w:afterLines="60" w:after="144" w:line="22" w:lineRule="atLeast"/>
      </w:pPr>
      <w:r>
        <w:t>P</w:t>
      </w:r>
      <w:r w:rsidRPr="00F27EF4">
        <w:t xml:space="preserve">ar l’Etat </w:t>
      </w:r>
      <w:r>
        <w:t>via</w:t>
      </w:r>
      <w:r w:rsidRPr="00F27EF4">
        <w:t xml:space="preserve"> des crédits budgétaires</w:t>
      </w:r>
      <w:r>
        <w:t> ;</w:t>
      </w:r>
    </w:p>
    <w:p w14:paraId="7493F0BA" w14:textId="77777777" w:rsidR="00BD5FDB" w:rsidRDefault="00BD5FDB" w:rsidP="00BD5FDB">
      <w:pPr>
        <w:pStyle w:val="Paragraphedeliste"/>
        <w:numPr>
          <w:ilvl w:val="0"/>
          <w:numId w:val="1"/>
        </w:numPr>
        <w:spacing w:before="60" w:afterLines="60" w:after="144" w:line="22" w:lineRule="atLeast"/>
        <w:jc w:val="both"/>
      </w:pPr>
      <w:r>
        <w:lastRenderedPageBreak/>
        <w:t>Par</w:t>
      </w:r>
      <w:r w:rsidRPr="00F27EF4">
        <w:t xml:space="preserve"> les ressources issues des majorations et des prélèvements SRU, c’est-à-dire les</w:t>
      </w:r>
      <w:r w:rsidRPr="00F27EF4">
        <w:rPr>
          <w:b/>
          <w:bCs/>
          <w:color w:val="EE0000"/>
        </w:rPr>
        <w:t xml:space="preserve"> </w:t>
      </w:r>
      <w:r w:rsidRPr="00F9177D">
        <w:t>prélèvements annuels</w:t>
      </w:r>
      <w:r w:rsidRPr="00F9177D">
        <w:rPr>
          <w:b/>
          <w:bCs/>
        </w:rPr>
        <w:t xml:space="preserve"> </w:t>
      </w:r>
      <w:r w:rsidRPr="00F9177D">
        <w:t>sur les ressources fiscales des communes déficitaires qui ne respectent pas leur obligation</w:t>
      </w:r>
      <w:r>
        <w:t xml:space="preserve"> légale</w:t>
      </w:r>
      <w:r w:rsidRPr="00F9177D">
        <w:t xml:space="preserve"> de disposer d’un taux minimal de logements sociaux.</w:t>
      </w:r>
    </w:p>
    <w:p w14:paraId="6A870C2C" w14:textId="77777777" w:rsidR="00BD5FDB" w:rsidRPr="009A61AA" w:rsidRDefault="00BD5FDB" w:rsidP="00BD5FDB">
      <w:pPr>
        <w:spacing w:before="60" w:afterLines="60" w:after="144" w:line="22" w:lineRule="atLeast"/>
        <w:jc w:val="both"/>
      </w:pPr>
      <w:r>
        <w:t>L’Etat s’est retiré du financement direct du Fonds par le biais de crédits budgétaires dès 2018. Action Logement a comblé le vide jusqu’en 2024 puis a arrêté de contribuer à partir de 2025. Cette année</w:t>
      </w:r>
      <w:r w:rsidRPr="00066DD3">
        <w:t xml:space="preserve">, les recettes du </w:t>
      </w:r>
      <w:proofErr w:type="spellStart"/>
      <w:r w:rsidRPr="00066DD3">
        <w:t>Fnap</w:t>
      </w:r>
      <w:proofErr w:type="spellEnd"/>
      <w:r w:rsidRPr="00066DD3">
        <w:t xml:space="preserve"> n'</w:t>
      </w:r>
      <w:r>
        <w:t xml:space="preserve">ont atteint </w:t>
      </w:r>
      <w:r w:rsidRPr="00066DD3">
        <w:t>que 126,4 millions d'euros, soit deux fois moins que l'a</w:t>
      </w:r>
      <w:r>
        <w:t>nnée précédente</w:t>
      </w:r>
      <w:r w:rsidRPr="00066DD3">
        <w:t xml:space="preserve"> et trois fois moins qu'à sa création.</w:t>
      </w:r>
    </w:p>
    <w:p w14:paraId="59EAF6E2" w14:textId="77777777" w:rsidR="00BD5FDB" w:rsidRDefault="00BD5FDB" w:rsidP="00BD5FDB">
      <w:pPr>
        <w:spacing w:before="60" w:afterLines="60" w:after="144" w:line="22" w:lineRule="atLeast"/>
        <w:jc w:val="both"/>
      </w:pPr>
      <w:r>
        <w:rPr>
          <w:b/>
          <w:bCs/>
        </w:rPr>
        <w:t xml:space="preserve">Il convient, en 2026, de donner les moyens au </w:t>
      </w:r>
      <w:proofErr w:type="spellStart"/>
      <w:r>
        <w:rPr>
          <w:b/>
          <w:bCs/>
        </w:rPr>
        <w:t>Fnap</w:t>
      </w:r>
      <w:proofErr w:type="spellEnd"/>
      <w:r>
        <w:rPr>
          <w:b/>
          <w:bCs/>
        </w:rPr>
        <w:t xml:space="preserve">, comme le demandent l’ensemble des parties prenantes de sa gouvernance, </w:t>
      </w:r>
      <w:r w:rsidRPr="0051448E">
        <w:rPr>
          <w:b/>
          <w:bCs/>
        </w:rPr>
        <w:t>pour contribuer au financement de nouveaux logements sociaux.</w:t>
      </w:r>
      <w:r w:rsidRPr="00FB476B">
        <w:t xml:space="preserve"> </w:t>
      </w:r>
      <w:r w:rsidRPr="0051448E">
        <w:rPr>
          <w:b/>
          <w:bCs/>
        </w:rPr>
        <w:t>Le logement social dans toutes ses composantes doit rester une politique de solidarité nationale.</w:t>
      </w:r>
      <w:r>
        <w:t xml:space="preserve"> Les bailleurs sociaux logent des publics précaires, ils ont besoin d’être soutenus financièrement, particulièrement pour la production de logements en </w:t>
      </w:r>
      <w:proofErr w:type="spellStart"/>
      <w:r>
        <w:t>PLAi</w:t>
      </w:r>
      <w:proofErr w:type="spellEnd"/>
      <w:r>
        <w:t xml:space="preserve"> adapté dont les opérations doivent être équilibrées par davantage de subventions avec un apport en fonds propres limités. Par ailleurs, les organismes produisant ce type d’offre font aussi face à des problématiques multiples : hausse des coûts de construction, enjeux de rénovation énergétique de leur parc, poids de la Réduction du Loyer de Solidarité, …</w:t>
      </w:r>
    </w:p>
    <w:p w14:paraId="260E2275" w14:textId="77777777" w:rsidR="00BD5FDB" w:rsidRPr="0013179B" w:rsidRDefault="00BD5FDB" w:rsidP="00BD5FDB">
      <w:pPr>
        <w:spacing w:before="60" w:afterLines="60" w:after="144" w:line="22" w:lineRule="atLeast"/>
        <w:jc w:val="both"/>
      </w:pPr>
      <w:r>
        <w:t>Le 22 mai dernier, l</w:t>
      </w:r>
      <w:r w:rsidRPr="0013179B">
        <w:t xml:space="preserve">e conseil d'administration du </w:t>
      </w:r>
      <w:proofErr w:type="spellStart"/>
      <w:r w:rsidRPr="0013179B">
        <w:t>Fnap</w:t>
      </w:r>
      <w:proofErr w:type="spellEnd"/>
      <w:r w:rsidRPr="0013179B">
        <w:t xml:space="preserve"> a voté</w:t>
      </w:r>
      <w:r>
        <w:t>, sur la base de travaux menés dans le cadre d’un groupe de travail,</w:t>
      </w:r>
      <w:r w:rsidRPr="0013179B">
        <w:t xml:space="preserve"> en faveur d'un scénario proposant un budget annuel de 525 millions d'euros dès 2026 pour financer 100 000 logements neufs et rénover 30 000 logements par an. </w:t>
      </w:r>
      <w:r>
        <w:t>Selon ce scénario, c</w:t>
      </w:r>
      <w:r w:rsidRPr="0013179B">
        <w:t>es 525 millions</w:t>
      </w:r>
      <w:r>
        <w:t xml:space="preserve"> d’euros</w:t>
      </w:r>
      <w:r w:rsidRPr="0013179B">
        <w:t xml:space="preserve"> seraient financés :</w:t>
      </w:r>
    </w:p>
    <w:p w14:paraId="074C9AA1" w14:textId="77777777" w:rsidR="00BD5FDB" w:rsidRPr="0013179B" w:rsidRDefault="00BD5FDB" w:rsidP="00BD5FDB">
      <w:pPr>
        <w:pStyle w:val="Paragraphedeliste"/>
        <w:numPr>
          <w:ilvl w:val="0"/>
          <w:numId w:val="2"/>
        </w:numPr>
        <w:spacing w:before="60" w:afterLines="60" w:after="144" w:line="22" w:lineRule="atLeast"/>
        <w:jc w:val="both"/>
      </w:pPr>
      <w:r w:rsidRPr="0013179B">
        <w:t>Par une fraction des contributions versées par les bailleurs sociaux à la Caisse de Garantie du Logement Locatif Social</w:t>
      </w:r>
      <w:r>
        <w:t xml:space="preserve"> à hauteur de 375 millions d’euros ;</w:t>
      </w:r>
    </w:p>
    <w:p w14:paraId="20D4C7D7" w14:textId="77777777" w:rsidR="00BD5FDB" w:rsidRPr="0013179B" w:rsidRDefault="00BD5FDB" w:rsidP="00BD5FDB">
      <w:pPr>
        <w:pStyle w:val="Paragraphedeliste"/>
        <w:numPr>
          <w:ilvl w:val="0"/>
          <w:numId w:val="2"/>
        </w:numPr>
        <w:spacing w:before="60" w:afterLines="60" w:after="144" w:line="22" w:lineRule="atLeast"/>
        <w:jc w:val="both"/>
      </w:pPr>
      <w:r w:rsidRPr="0013179B">
        <w:t>Par les ressources issues des majorations et des prélèvements SRU</w:t>
      </w:r>
      <w:r>
        <w:t xml:space="preserve"> à hauteur de 50 millions d’euros ;</w:t>
      </w:r>
    </w:p>
    <w:p w14:paraId="1E03432C" w14:textId="77777777" w:rsidR="00BD5FDB" w:rsidRPr="0013179B" w:rsidRDefault="00BD5FDB" w:rsidP="00BD5FDB">
      <w:pPr>
        <w:pStyle w:val="Paragraphedeliste"/>
        <w:numPr>
          <w:ilvl w:val="0"/>
          <w:numId w:val="2"/>
        </w:numPr>
        <w:spacing w:before="60" w:afterLines="60" w:after="144" w:line="22" w:lineRule="atLeast"/>
        <w:jc w:val="both"/>
      </w:pPr>
      <w:r w:rsidRPr="0013179B">
        <w:t xml:space="preserve">Par l’Etat via des crédits budgétaires à hauteur de 100 millions d’euros. Ces 100 millions d’euros visent à financer les produits du plan gouvernemental Logement d’Abord II : logements </w:t>
      </w:r>
      <w:proofErr w:type="spellStart"/>
      <w:r w:rsidRPr="0013179B">
        <w:t>PLAi</w:t>
      </w:r>
      <w:proofErr w:type="spellEnd"/>
      <w:r w:rsidRPr="0013179B">
        <w:t xml:space="preserve"> adapté, pensions de famille, résidences sociales, résidences Habitat Jeune.</w:t>
      </w:r>
    </w:p>
    <w:p w14:paraId="7E34AE12" w14:textId="77777777" w:rsidR="00BD5FDB" w:rsidRDefault="00BD5FDB" w:rsidP="00BD5FDB">
      <w:pPr>
        <w:spacing w:before="60" w:afterLines="60" w:after="144" w:line="22" w:lineRule="atLeast"/>
        <w:jc w:val="both"/>
      </w:pPr>
      <w:r>
        <w:t xml:space="preserve">Cette enveloppe budgétaire de 100 millions est insuffisante pour respecter les objectifs de production du plan Logement d’Abord 2. Cet amendement a donc pour objectif de maintenir le soutien financier de l’Etat à la production des produits du « Logement d’abord » par l’intermédiaire de </w:t>
      </w:r>
      <w:r w:rsidRPr="009939AC">
        <w:rPr>
          <w:b/>
          <w:bCs/>
        </w:rPr>
        <w:t>crédits budgétaires</w:t>
      </w:r>
      <w:r>
        <w:rPr>
          <w:b/>
          <w:bCs/>
        </w:rPr>
        <w:t>,</w:t>
      </w:r>
      <w:r>
        <w:t xml:space="preserve"> à hauteur de</w:t>
      </w:r>
      <w:r w:rsidRPr="00F9177D">
        <w:t xml:space="preserve"> </w:t>
      </w:r>
      <w:r w:rsidRPr="00F9177D">
        <w:rPr>
          <w:b/>
          <w:bCs/>
        </w:rPr>
        <w:t>162 millions d’euros</w:t>
      </w:r>
      <w:r w:rsidRPr="00F9177D">
        <w:t> </w:t>
      </w:r>
      <w:r w:rsidRPr="00F9177D">
        <w:rPr>
          <w:b/>
          <w:bCs/>
        </w:rPr>
        <w:t>pour l’année 2026</w:t>
      </w:r>
      <w:r>
        <w:t xml:space="preserve">. </w:t>
      </w:r>
    </w:p>
    <w:p w14:paraId="4606E67E" w14:textId="77777777" w:rsidR="00BD5FDB" w:rsidRPr="008A597A" w:rsidRDefault="00BD5FDB" w:rsidP="00BD5FDB">
      <w:pPr>
        <w:spacing w:before="60" w:afterLines="60" w:after="144" w:line="22" w:lineRule="atLeast"/>
        <w:jc w:val="both"/>
      </w:pPr>
      <w:r w:rsidRPr="00FB476B">
        <w:t xml:space="preserve">Afin de garantir </w:t>
      </w:r>
      <w:r>
        <w:t xml:space="preserve">la </w:t>
      </w:r>
      <w:r w:rsidRPr="00FB476B">
        <w:t>recevabilité financière</w:t>
      </w:r>
      <w:r>
        <w:t xml:space="preserve"> de cet amendement</w:t>
      </w:r>
      <w:r w:rsidRPr="00FB476B">
        <w:t xml:space="preserve">, </w:t>
      </w:r>
      <w:r>
        <w:t>celui-ci</w:t>
      </w:r>
      <w:r w:rsidRPr="00FB476B">
        <w:t xml:space="preserve"> réalise une diminution d’un montant de 1</w:t>
      </w:r>
      <w:r>
        <w:t>62 millions</w:t>
      </w:r>
      <w:r w:rsidRPr="00FB476B">
        <w:t xml:space="preserve"> d’euros en AE et CP de l’action 01 du programme 109 "aide à l'accès au logement" pour venir abonder l’action 01 "construction locative et amélioration du parc" du programme 135 “Urbanisme, territoires et amélioration de l'habitat”. Nous invitons le gouvernement à lever le gage pour garantir les moyens dédiés aux aides au logement, que nous ne souhaitons évidemment pas réduire.</w:t>
      </w:r>
    </w:p>
    <w:p w14:paraId="11C556A7" w14:textId="77777777" w:rsidR="00BD5FDB" w:rsidRDefault="00BD5FDB" w:rsidP="00BD5FDB">
      <w:pPr>
        <w:spacing w:before="60" w:afterLines="60" w:after="144" w:line="22" w:lineRule="atLeast"/>
      </w:pPr>
    </w:p>
    <w:p w14:paraId="7B58C933" w14:textId="79130E23" w:rsidR="007D2F4F" w:rsidRDefault="002D3836" w:rsidP="00BD5FDB">
      <w:pPr>
        <w:spacing w:before="60" w:afterLines="60" w:after="144" w:line="22" w:lineRule="atLeast"/>
      </w:pPr>
      <w:r>
        <w:rPr>
          <w:rFonts w:asciiTheme="majorHAnsi" w:hAnsiTheme="majorHAnsi"/>
        </w:rPr>
        <w:t xml:space="preserve">Cet amendement </w:t>
      </w:r>
      <w:r w:rsidRPr="0023146D">
        <w:rPr>
          <w:rFonts w:asciiTheme="majorHAnsi" w:hAnsiTheme="majorHAnsi"/>
        </w:rPr>
        <w:t>est proposé avec le concours de</w:t>
      </w:r>
      <w:r>
        <w:rPr>
          <w:rFonts w:asciiTheme="majorHAnsi" w:hAnsiTheme="majorHAnsi"/>
        </w:rPr>
        <w:t xml:space="preserve">s Acteurs du Logement d’Insertion </w:t>
      </w:r>
      <w:r w:rsidR="000302CF">
        <w:rPr>
          <w:rFonts w:asciiTheme="majorHAnsi" w:hAnsiTheme="majorHAnsi"/>
        </w:rPr>
        <w:t xml:space="preserve">(Fapil, Soliha, </w:t>
      </w:r>
      <w:r w:rsidR="00C25718">
        <w:rPr>
          <w:rFonts w:asciiTheme="majorHAnsi" w:hAnsiTheme="majorHAnsi"/>
        </w:rPr>
        <w:t>Unafo, Unhaj).</w:t>
      </w:r>
    </w:p>
    <w:p w14:paraId="5A9A0734" w14:textId="77777777" w:rsidR="00BD5FDB" w:rsidRDefault="00BD5FDB" w:rsidP="00BD5FDB">
      <w:pPr>
        <w:spacing w:before="60" w:afterLines="60" w:after="144" w:line="22" w:lineRule="atLeast"/>
      </w:pPr>
    </w:p>
    <w:p w14:paraId="5490C348" w14:textId="77777777" w:rsidR="003B6272" w:rsidRDefault="003B6272"/>
    <w:sectPr w:rsidR="003B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16B9"/>
    <w:multiLevelType w:val="hybridMultilevel"/>
    <w:tmpl w:val="BCDA7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27610"/>
    <w:multiLevelType w:val="hybridMultilevel"/>
    <w:tmpl w:val="510EE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06221">
    <w:abstractNumId w:val="1"/>
  </w:num>
  <w:num w:numId="2" w16cid:durableId="160453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DB"/>
    <w:rsid w:val="000302CF"/>
    <w:rsid w:val="000D7E72"/>
    <w:rsid w:val="0018185F"/>
    <w:rsid w:val="00232B03"/>
    <w:rsid w:val="002D3836"/>
    <w:rsid w:val="003B6272"/>
    <w:rsid w:val="007A4729"/>
    <w:rsid w:val="007D2F4F"/>
    <w:rsid w:val="008C2E9A"/>
    <w:rsid w:val="00BD5FDB"/>
    <w:rsid w:val="00C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534D"/>
  <w15:chartTrackingRefBased/>
  <w15:docId w15:val="{E8B927D9-8E94-4F63-A876-C7F0888E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D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D5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5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5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5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F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F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5F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5F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5F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5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5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FDB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BD5F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5F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F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5FDB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nhideWhenUsed/>
    <w:rsid w:val="00BD5FD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D5FD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D5FDB"/>
  </w:style>
  <w:style w:type="table" w:styleId="Grilledutableau">
    <w:name w:val="Table Grid"/>
    <w:basedOn w:val="TableauNormal"/>
    <w:uiPriority w:val="39"/>
    <w:rsid w:val="00BD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IBARBOURE</dc:creator>
  <cp:keywords/>
  <dc:description/>
  <cp:lastModifiedBy>Arnaud de BROCA</cp:lastModifiedBy>
  <cp:revision>2</cp:revision>
  <cp:lastPrinted>2025-10-15T12:53:00Z</cp:lastPrinted>
  <dcterms:created xsi:type="dcterms:W3CDTF">2025-10-15T13:08:00Z</dcterms:created>
  <dcterms:modified xsi:type="dcterms:W3CDTF">2025-10-15T13:08:00Z</dcterms:modified>
</cp:coreProperties>
</file>