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28D" w14:textId="413AEF74" w:rsidR="00C70C84" w:rsidRPr="00C70C84" w:rsidRDefault="00C70C84" w:rsidP="00C70C84">
      <w:pPr>
        <w:pStyle w:val="Titre1"/>
        <w:rPr>
          <w:rFonts w:ascii="Arial" w:hAnsi="Arial" w:cs="Arial"/>
          <w:b/>
          <w:bCs/>
          <w:color w:val="000000" w:themeColor="text1"/>
          <w:sz w:val="32"/>
          <w:szCs w:val="32"/>
        </w:rPr>
      </w:pPr>
      <w:bookmarkStart w:id="0" w:name="_Toc168569681"/>
      <w:bookmarkStart w:id="1" w:name="_Toc178343128"/>
      <w:bookmarkStart w:id="2" w:name="_Toc209471753"/>
      <w:r w:rsidRPr="00496AD0">
        <w:rPr>
          <w:rFonts w:ascii="Arial" w:hAnsi="Arial" w:cs="Arial"/>
          <w:b/>
          <w:bCs/>
          <w:color w:val="auto"/>
          <w:sz w:val="32"/>
          <w:szCs w:val="32"/>
        </w:rPr>
        <w:t xml:space="preserve">Proposition d’amendement </w:t>
      </w:r>
      <w:r w:rsidRPr="00C70C84">
        <w:rPr>
          <w:rFonts w:ascii="Arial" w:hAnsi="Arial" w:cs="Arial"/>
          <w:b/>
          <w:bCs/>
          <w:color w:val="000000" w:themeColor="text1"/>
          <w:sz w:val="32"/>
          <w:szCs w:val="32"/>
        </w:rPr>
        <w:t xml:space="preserve">visant à conforter la politique du Logement d’Abord en renforçant l’aide à la gestion locative sociale </w:t>
      </w:r>
      <w:bookmarkEnd w:id="0"/>
      <w:bookmarkEnd w:id="1"/>
      <w:bookmarkEnd w:id="2"/>
    </w:p>
    <w:p w14:paraId="68FA4932" w14:textId="77777777" w:rsidR="00C70C84" w:rsidRPr="00614243" w:rsidRDefault="00C70C84" w:rsidP="00C70C84">
      <w:pPr>
        <w:pStyle w:val="Corpsdetexte"/>
        <w:spacing w:before="8"/>
        <w:rPr>
          <w:rFonts w:ascii="Arial" w:hAnsi="Arial" w:cs="Arial"/>
          <w:sz w:val="15"/>
        </w:rPr>
      </w:pPr>
    </w:p>
    <w:p w14:paraId="268C6BA0" w14:textId="77777777" w:rsidR="00C70C84" w:rsidRPr="00EE0942" w:rsidRDefault="00C70C84" w:rsidP="00C70C84">
      <w:pPr>
        <w:pStyle w:val="Corpsdetexte"/>
        <w:jc w:val="center"/>
        <w:rPr>
          <w:rFonts w:ascii="Arial" w:hAnsi="Arial" w:cs="Arial"/>
        </w:rPr>
      </w:pPr>
    </w:p>
    <w:p w14:paraId="46CCAE48" w14:textId="45FEFC7A" w:rsidR="00A86A8E" w:rsidRPr="00A74A5A" w:rsidRDefault="00A86A8E" w:rsidP="00A74A5A">
      <w:pPr>
        <w:spacing w:before="60" w:afterLines="60" w:after="144" w:line="22" w:lineRule="atLeast"/>
        <w:jc w:val="center"/>
        <w:rPr>
          <w:rFonts w:cs="Arial"/>
          <w:b/>
          <w:bCs/>
          <w:sz w:val="28"/>
          <w:szCs w:val="28"/>
        </w:rPr>
      </w:pPr>
      <w:r w:rsidRPr="00A74A5A">
        <w:rPr>
          <w:rFonts w:cs="Arial"/>
          <w:b/>
          <w:bCs/>
          <w:sz w:val="28"/>
          <w:szCs w:val="28"/>
        </w:rPr>
        <w:t>Etat B</w:t>
      </w:r>
    </w:p>
    <w:p w14:paraId="17D040DF" w14:textId="77777777" w:rsidR="00A74A5A" w:rsidRDefault="00A86A8E" w:rsidP="00A74A5A">
      <w:pPr>
        <w:spacing w:before="60" w:afterLines="60" w:after="144" w:line="22" w:lineRule="atLeast"/>
        <w:jc w:val="center"/>
        <w:rPr>
          <w:rFonts w:cs="Arial"/>
          <w:b/>
          <w:bCs/>
          <w:sz w:val="28"/>
          <w:szCs w:val="28"/>
        </w:rPr>
      </w:pPr>
      <w:r w:rsidRPr="00A74A5A">
        <w:rPr>
          <w:rFonts w:cs="Arial"/>
          <w:b/>
          <w:bCs/>
          <w:sz w:val="28"/>
          <w:szCs w:val="28"/>
        </w:rPr>
        <w:t>Répartition des crédits pour 2026, par mission et programme</w:t>
      </w:r>
    </w:p>
    <w:p w14:paraId="3EE65829" w14:textId="1A61B988" w:rsidR="00A86A8E" w:rsidRPr="00A74A5A" w:rsidRDefault="00A74A5A" w:rsidP="00A74A5A">
      <w:pPr>
        <w:spacing w:before="60" w:afterLines="60" w:after="144" w:line="22" w:lineRule="atLeast"/>
        <w:jc w:val="center"/>
        <w:rPr>
          <w:rFonts w:cs="Arial"/>
          <w:iCs/>
          <w:sz w:val="32"/>
          <w:szCs w:val="32"/>
        </w:rPr>
      </w:pPr>
      <w:r>
        <w:rPr>
          <w:rFonts w:cs="Arial"/>
          <w:b/>
          <w:bCs/>
          <w:sz w:val="28"/>
          <w:szCs w:val="28"/>
        </w:rPr>
        <w:t>(</w:t>
      </w:r>
      <w:proofErr w:type="gramStart"/>
      <w:r>
        <w:rPr>
          <w:rFonts w:cs="Arial"/>
          <w:b/>
          <w:bCs/>
          <w:sz w:val="28"/>
          <w:szCs w:val="28"/>
        </w:rPr>
        <w:t>artic</w:t>
      </w:r>
      <w:r w:rsidR="00A86A8E" w:rsidRPr="00A74A5A">
        <w:rPr>
          <w:rFonts w:cs="Arial"/>
          <w:b/>
          <w:bCs/>
          <w:sz w:val="28"/>
          <w:szCs w:val="28"/>
        </w:rPr>
        <w:t>le</w:t>
      </w:r>
      <w:proofErr w:type="gramEnd"/>
      <w:r w:rsidR="00A86A8E" w:rsidRPr="00A74A5A">
        <w:rPr>
          <w:rFonts w:cs="Arial"/>
          <w:b/>
          <w:bCs/>
          <w:sz w:val="28"/>
          <w:szCs w:val="28"/>
        </w:rPr>
        <w:t xml:space="preserve"> 49 du projet de loi) </w:t>
      </w:r>
    </w:p>
    <w:p w14:paraId="25D0FD08" w14:textId="77777777" w:rsidR="00A86A8E" w:rsidRDefault="00A86A8E" w:rsidP="00A86A8E">
      <w:pPr>
        <w:spacing w:before="60" w:afterLines="60" w:after="144" w:line="22" w:lineRule="atLeast"/>
        <w:jc w:val="both"/>
        <w:rPr>
          <w:rFonts w:cs="Arial"/>
          <w:iCs/>
        </w:rPr>
      </w:pPr>
    </w:p>
    <w:p w14:paraId="537A4637" w14:textId="77777777" w:rsidR="00A74A5A" w:rsidRPr="00B95D02" w:rsidRDefault="00A74A5A" w:rsidP="00A74A5A">
      <w:pPr>
        <w:spacing w:before="60" w:afterLines="60" w:after="144" w:line="22" w:lineRule="atLeast"/>
        <w:jc w:val="center"/>
        <w:rPr>
          <w:rFonts w:cs="Arial"/>
          <w:iCs/>
        </w:rPr>
      </w:pPr>
      <w:r w:rsidRPr="00B95D02">
        <w:rPr>
          <w:rFonts w:cs="Arial"/>
          <w:iCs/>
        </w:rPr>
        <w:t>Modifier</w:t>
      </w:r>
      <w:r w:rsidRPr="00B95D02">
        <w:rPr>
          <w:rFonts w:cs="Arial"/>
          <w:iCs/>
          <w:spacing w:val="-3"/>
        </w:rPr>
        <w:t xml:space="preserve"> </w:t>
      </w:r>
      <w:r w:rsidRPr="00B95D02">
        <w:rPr>
          <w:rFonts w:cs="Arial"/>
          <w:iCs/>
        </w:rPr>
        <w:t>ainsi</w:t>
      </w:r>
      <w:r w:rsidRPr="00B95D02">
        <w:rPr>
          <w:rFonts w:cs="Arial"/>
          <w:iCs/>
          <w:spacing w:val="-2"/>
        </w:rPr>
        <w:t xml:space="preserve"> </w:t>
      </w:r>
      <w:r w:rsidRPr="00B95D02">
        <w:rPr>
          <w:rFonts w:cs="Arial"/>
          <w:iCs/>
        </w:rPr>
        <w:t>les</w:t>
      </w:r>
      <w:r w:rsidRPr="00B95D02">
        <w:rPr>
          <w:rFonts w:cs="Arial"/>
          <w:iCs/>
          <w:spacing w:val="-2"/>
        </w:rPr>
        <w:t xml:space="preserve"> </w:t>
      </w:r>
      <w:r w:rsidRPr="00B95D02">
        <w:rPr>
          <w:rFonts w:cs="Arial"/>
          <w:iCs/>
        </w:rPr>
        <w:t>autorisations</w:t>
      </w:r>
      <w:r w:rsidRPr="00B95D02">
        <w:rPr>
          <w:rFonts w:cs="Arial"/>
          <w:iCs/>
          <w:spacing w:val="-3"/>
        </w:rPr>
        <w:t xml:space="preserve"> </w:t>
      </w:r>
      <w:r w:rsidRPr="00B95D02">
        <w:rPr>
          <w:rFonts w:cs="Arial"/>
          <w:iCs/>
        </w:rPr>
        <w:t>d’engagement</w:t>
      </w:r>
      <w:r w:rsidRPr="00B95D02">
        <w:rPr>
          <w:rFonts w:cs="Arial"/>
          <w:iCs/>
          <w:spacing w:val="-2"/>
        </w:rPr>
        <w:t xml:space="preserve"> </w:t>
      </w:r>
      <w:r w:rsidRPr="00B95D02">
        <w:rPr>
          <w:rFonts w:cs="Arial"/>
          <w:iCs/>
        </w:rPr>
        <w:t>et</w:t>
      </w:r>
      <w:r w:rsidRPr="00B95D02">
        <w:rPr>
          <w:rFonts w:cs="Arial"/>
          <w:iCs/>
          <w:spacing w:val="-2"/>
        </w:rPr>
        <w:t xml:space="preserve"> </w:t>
      </w:r>
      <w:r w:rsidRPr="00B95D02">
        <w:rPr>
          <w:rFonts w:cs="Arial"/>
          <w:iCs/>
        </w:rPr>
        <w:t>les</w:t>
      </w:r>
      <w:r w:rsidRPr="00B95D02">
        <w:rPr>
          <w:rFonts w:cs="Arial"/>
          <w:iCs/>
          <w:spacing w:val="-3"/>
        </w:rPr>
        <w:t xml:space="preserve"> </w:t>
      </w:r>
      <w:r w:rsidRPr="00B95D02">
        <w:rPr>
          <w:rFonts w:cs="Arial"/>
          <w:iCs/>
        </w:rPr>
        <w:t>crédits</w:t>
      </w:r>
      <w:r w:rsidRPr="00B95D02">
        <w:rPr>
          <w:rFonts w:cs="Arial"/>
          <w:iCs/>
          <w:spacing w:val="-2"/>
        </w:rPr>
        <w:t xml:space="preserve"> </w:t>
      </w:r>
      <w:r w:rsidRPr="00B95D02">
        <w:rPr>
          <w:rFonts w:cs="Arial"/>
          <w:iCs/>
        </w:rPr>
        <w:t>de</w:t>
      </w:r>
      <w:r w:rsidRPr="00B95D02">
        <w:rPr>
          <w:rFonts w:cs="Arial"/>
          <w:iCs/>
          <w:spacing w:val="-2"/>
        </w:rPr>
        <w:t xml:space="preserve"> </w:t>
      </w:r>
      <w:r w:rsidRPr="00B95D02">
        <w:rPr>
          <w:rFonts w:cs="Arial"/>
          <w:iCs/>
        </w:rPr>
        <w:t>paiement :</w:t>
      </w:r>
    </w:p>
    <w:p w14:paraId="14E47F01" w14:textId="77777777" w:rsidR="00A74A5A" w:rsidRPr="008A597A" w:rsidRDefault="00A74A5A" w:rsidP="00A74A5A">
      <w:pPr>
        <w:spacing w:before="60" w:afterLines="60" w:after="144" w:line="22" w:lineRule="atLeast"/>
        <w:jc w:val="right"/>
        <w:rPr>
          <w:rFonts w:cs="Arial"/>
          <w:i/>
        </w:rPr>
      </w:pPr>
      <w:r w:rsidRPr="00B95D02">
        <w:rPr>
          <w:rFonts w:cs="Arial"/>
          <w:i/>
        </w:rPr>
        <w:t xml:space="preserve"> (</w:t>
      </w:r>
      <w:proofErr w:type="gramStart"/>
      <w:r w:rsidRPr="00B95D02">
        <w:rPr>
          <w:rFonts w:cs="Arial"/>
          <w:i/>
        </w:rPr>
        <w:t>en</w:t>
      </w:r>
      <w:proofErr w:type="gramEnd"/>
      <w:r w:rsidRPr="00B95D02">
        <w:rPr>
          <w:rFonts w:cs="Arial"/>
          <w:i/>
        </w:rPr>
        <w:t xml:space="preserve"> euros)</w:t>
      </w:r>
    </w:p>
    <w:tbl>
      <w:tblPr>
        <w:tblStyle w:val="Grilledutableau"/>
        <w:tblpPr w:leftFromText="141" w:rightFromText="141" w:vertAnchor="text" w:horzAnchor="margin" w:tblpXSpec="right" w:tblpY="14"/>
        <w:tblW w:w="0" w:type="auto"/>
        <w:tblLook w:val="04A0" w:firstRow="1" w:lastRow="0" w:firstColumn="1" w:lastColumn="0" w:noHBand="0" w:noVBand="1"/>
      </w:tblPr>
      <w:tblGrid>
        <w:gridCol w:w="4815"/>
        <w:gridCol w:w="1701"/>
        <w:gridCol w:w="1843"/>
      </w:tblGrid>
      <w:tr w:rsidR="00A74A5A" w14:paraId="18D07E91" w14:textId="77777777" w:rsidTr="00FB27EC">
        <w:tc>
          <w:tcPr>
            <w:tcW w:w="4815" w:type="dxa"/>
          </w:tcPr>
          <w:p w14:paraId="1CE906BB" w14:textId="77777777" w:rsidR="00A74A5A" w:rsidRDefault="00A74A5A" w:rsidP="00FB27EC">
            <w:pPr>
              <w:spacing w:before="60" w:afterLines="60" w:after="144" w:line="22" w:lineRule="atLeast"/>
              <w:jc w:val="center"/>
              <w:rPr>
                <w:rFonts w:cs="Arial"/>
                <w:b/>
                <w:bCs/>
                <w:color w:val="000000" w:themeColor="text1"/>
                <w:sz w:val="24"/>
                <w:szCs w:val="24"/>
              </w:rPr>
            </w:pPr>
            <w:r>
              <w:rPr>
                <w:rFonts w:cs="Arial"/>
                <w:b/>
                <w:bCs/>
                <w:color w:val="000000" w:themeColor="text1"/>
                <w:sz w:val="24"/>
                <w:szCs w:val="24"/>
              </w:rPr>
              <w:t>Programmes</w:t>
            </w:r>
          </w:p>
        </w:tc>
        <w:tc>
          <w:tcPr>
            <w:tcW w:w="1701" w:type="dxa"/>
          </w:tcPr>
          <w:p w14:paraId="32B404B5" w14:textId="77777777" w:rsidR="00A74A5A" w:rsidRDefault="00A74A5A" w:rsidP="00FB27EC">
            <w:pPr>
              <w:spacing w:before="60" w:afterLines="60" w:after="144" w:line="22" w:lineRule="atLeast"/>
              <w:jc w:val="center"/>
              <w:rPr>
                <w:rFonts w:cs="Arial"/>
                <w:b/>
                <w:bCs/>
                <w:color w:val="000000" w:themeColor="text1"/>
                <w:sz w:val="24"/>
                <w:szCs w:val="24"/>
              </w:rPr>
            </w:pPr>
            <w:r>
              <w:rPr>
                <w:rFonts w:cs="Arial"/>
                <w:b/>
                <w:bCs/>
                <w:color w:val="000000" w:themeColor="text1"/>
                <w:sz w:val="24"/>
                <w:szCs w:val="24"/>
              </w:rPr>
              <w:t>+</w:t>
            </w:r>
          </w:p>
        </w:tc>
        <w:tc>
          <w:tcPr>
            <w:tcW w:w="1843" w:type="dxa"/>
          </w:tcPr>
          <w:p w14:paraId="3F256640" w14:textId="77777777" w:rsidR="00A74A5A" w:rsidRPr="00410595" w:rsidRDefault="00A74A5A" w:rsidP="00FB27EC">
            <w:pPr>
              <w:spacing w:before="60" w:afterLines="60" w:after="144" w:line="22" w:lineRule="atLeast"/>
              <w:jc w:val="center"/>
              <w:rPr>
                <w:rFonts w:cs="Arial"/>
                <w:b/>
                <w:bCs/>
                <w:color w:val="000000" w:themeColor="text1"/>
                <w:sz w:val="24"/>
                <w:szCs w:val="24"/>
              </w:rPr>
            </w:pPr>
            <w:r w:rsidRPr="00410595">
              <w:rPr>
                <w:rFonts w:cs="Arial"/>
                <w:b/>
                <w:bCs/>
                <w:color w:val="000000" w:themeColor="text1"/>
                <w:sz w:val="24"/>
                <w:szCs w:val="24"/>
              </w:rPr>
              <w:t>-</w:t>
            </w:r>
          </w:p>
        </w:tc>
      </w:tr>
      <w:tr w:rsidR="00A74A5A" w14:paraId="1297B680" w14:textId="77777777" w:rsidTr="00FB27EC">
        <w:tc>
          <w:tcPr>
            <w:tcW w:w="4815" w:type="dxa"/>
          </w:tcPr>
          <w:p w14:paraId="119447F0" w14:textId="77777777" w:rsidR="00A74A5A" w:rsidRDefault="00A74A5A" w:rsidP="00FB27EC">
            <w:pPr>
              <w:spacing w:before="60" w:afterLines="60" w:after="144" w:line="22" w:lineRule="atLeast"/>
              <w:rPr>
                <w:rFonts w:cs="Arial"/>
                <w:color w:val="000000" w:themeColor="text1"/>
                <w:sz w:val="24"/>
                <w:szCs w:val="24"/>
              </w:rPr>
            </w:pPr>
            <w:r w:rsidRPr="008A597A">
              <w:rPr>
                <w:rFonts w:cs="Arial"/>
                <w:color w:val="000000" w:themeColor="text1"/>
                <w:sz w:val="24"/>
                <w:szCs w:val="24"/>
              </w:rPr>
              <w:t>Hébergement, parcours vers le logement et insertion des personnes vulnérables</w:t>
            </w:r>
          </w:p>
          <w:p w14:paraId="00986BB4" w14:textId="77777777" w:rsidR="00A74A5A" w:rsidRDefault="00A74A5A" w:rsidP="00FB27EC">
            <w:pPr>
              <w:spacing w:before="60" w:afterLines="60" w:after="144" w:line="22" w:lineRule="atLeast"/>
              <w:rPr>
                <w:rFonts w:cs="Arial"/>
                <w:color w:val="000000" w:themeColor="text1"/>
                <w:sz w:val="24"/>
                <w:szCs w:val="24"/>
              </w:rPr>
            </w:pPr>
            <w:r>
              <w:rPr>
                <w:rFonts w:cs="Arial"/>
                <w:color w:val="000000" w:themeColor="text1"/>
                <w:sz w:val="24"/>
                <w:szCs w:val="24"/>
              </w:rPr>
              <w:t>Aide à l’accès au logement</w:t>
            </w:r>
          </w:p>
          <w:p w14:paraId="72687DA1" w14:textId="77777777" w:rsidR="00A74A5A" w:rsidRDefault="00A74A5A" w:rsidP="00FB27EC">
            <w:pPr>
              <w:spacing w:before="60" w:afterLines="60" w:after="144" w:line="22" w:lineRule="atLeast"/>
              <w:rPr>
                <w:rFonts w:cs="Arial"/>
                <w:color w:val="000000" w:themeColor="text1"/>
                <w:sz w:val="24"/>
                <w:szCs w:val="24"/>
              </w:rPr>
            </w:pPr>
            <w:r w:rsidRPr="008A597A">
              <w:rPr>
                <w:rFonts w:cs="Arial"/>
                <w:color w:val="000000" w:themeColor="text1"/>
                <w:sz w:val="24"/>
                <w:szCs w:val="24"/>
              </w:rPr>
              <w:t>Urbanisme, territoires et amélioration de l'habitat</w:t>
            </w:r>
          </w:p>
          <w:p w14:paraId="2DA86DE5" w14:textId="77777777" w:rsidR="00A74A5A" w:rsidRDefault="00A74A5A" w:rsidP="00FB27EC">
            <w:pPr>
              <w:spacing w:before="60" w:afterLines="60" w:after="144" w:line="22" w:lineRule="atLeast"/>
              <w:rPr>
                <w:rFonts w:cs="Arial"/>
                <w:color w:val="000000" w:themeColor="text1"/>
                <w:sz w:val="24"/>
                <w:szCs w:val="24"/>
              </w:rPr>
            </w:pPr>
            <w:r w:rsidRPr="008A597A">
              <w:rPr>
                <w:rFonts w:cs="Arial"/>
                <w:color w:val="000000" w:themeColor="text1"/>
                <w:sz w:val="24"/>
                <w:szCs w:val="24"/>
              </w:rPr>
              <w:t>Impulsion et coordination de la politique d'aménagement du territoire</w:t>
            </w:r>
          </w:p>
          <w:p w14:paraId="318CB87E" w14:textId="77777777" w:rsidR="00A74A5A" w:rsidRDefault="00A74A5A" w:rsidP="00FB27EC">
            <w:pPr>
              <w:spacing w:before="60" w:afterLines="60" w:after="144" w:line="22" w:lineRule="atLeast"/>
              <w:rPr>
                <w:rFonts w:cs="Arial"/>
                <w:color w:val="000000" w:themeColor="text1"/>
                <w:sz w:val="24"/>
                <w:szCs w:val="24"/>
              </w:rPr>
            </w:pPr>
            <w:r>
              <w:rPr>
                <w:rFonts w:cs="Arial"/>
                <w:color w:val="000000" w:themeColor="text1"/>
                <w:sz w:val="24"/>
                <w:szCs w:val="24"/>
              </w:rPr>
              <w:t>Politique de la ville</w:t>
            </w:r>
          </w:p>
          <w:p w14:paraId="7E8E8C7E" w14:textId="77777777" w:rsidR="00A74A5A" w:rsidRPr="008A597A" w:rsidRDefault="00A74A5A" w:rsidP="00FB27EC">
            <w:pPr>
              <w:spacing w:before="60" w:afterLines="60" w:after="144" w:line="22" w:lineRule="atLeast"/>
              <w:rPr>
                <w:rFonts w:cs="Arial"/>
                <w:color w:val="000000" w:themeColor="text1"/>
                <w:sz w:val="24"/>
                <w:szCs w:val="24"/>
              </w:rPr>
            </w:pPr>
            <w:r>
              <w:rPr>
                <w:rFonts w:cs="Arial"/>
                <w:color w:val="000000" w:themeColor="text1"/>
                <w:sz w:val="24"/>
                <w:szCs w:val="24"/>
              </w:rPr>
              <w:t>Interventions territoriales de l’Etat</w:t>
            </w:r>
          </w:p>
        </w:tc>
        <w:tc>
          <w:tcPr>
            <w:tcW w:w="1701" w:type="dxa"/>
          </w:tcPr>
          <w:p w14:paraId="3DB0ABFE" w14:textId="46EDC3C5" w:rsidR="00A74A5A" w:rsidRPr="008A597A" w:rsidRDefault="00C865A3"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6</w:t>
            </w:r>
            <w:r w:rsidR="00A74A5A">
              <w:rPr>
                <w:rFonts w:cs="Arial"/>
                <w:color w:val="000000" w:themeColor="text1"/>
                <w:sz w:val="24"/>
                <w:szCs w:val="24"/>
              </w:rPr>
              <w:t> 000 000</w:t>
            </w:r>
          </w:p>
          <w:p w14:paraId="3DC3109B" w14:textId="77777777" w:rsidR="00A74A5A" w:rsidRPr="008A597A" w:rsidRDefault="00A74A5A" w:rsidP="00FB27EC">
            <w:pPr>
              <w:spacing w:before="60" w:afterLines="60" w:after="144" w:line="22" w:lineRule="atLeast"/>
              <w:jc w:val="right"/>
              <w:rPr>
                <w:rFonts w:cs="Arial"/>
                <w:color w:val="000000" w:themeColor="text1"/>
                <w:sz w:val="24"/>
                <w:szCs w:val="24"/>
              </w:rPr>
            </w:pPr>
          </w:p>
          <w:p w14:paraId="7F60E245" w14:textId="77777777" w:rsidR="00A74A5A" w:rsidRPr="008A597A" w:rsidRDefault="00A74A5A" w:rsidP="00FB27EC">
            <w:pPr>
              <w:spacing w:before="60" w:afterLines="60" w:after="144" w:line="22" w:lineRule="atLeast"/>
              <w:jc w:val="right"/>
              <w:rPr>
                <w:rFonts w:cs="Arial"/>
                <w:color w:val="000000" w:themeColor="text1"/>
                <w:sz w:val="24"/>
                <w:szCs w:val="24"/>
              </w:rPr>
            </w:pPr>
            <w:r w:rsidRPr="008A597A">
              <w:rPr>
                <w:rFonts w:cs="Arial"/>
                <w:color w:val="000000" w:themeColor="text1"/>
                <w:sz w:val="24"/>
                <w:szCs w:val="24"/>
              </w:rPr>
              <w:t>0</w:t>
            </w:r>
          </w:p>
          <w:p w14:paraId="42D57AB6" w14:textId="565FD548" w:rsidR="00A74A5A" w:rsidRPr="008A597A" w:rsidRDefault="00A74A5A"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0</w:t>
            </w:r>
          </w:p>
          <w:p w14:paraId="12D16585" w14:textId="77777777" w:rsidR="00A74A5A" w:rsidRPr="008A597A" w:rsidRDefault="00A74A5A" w:rsidP="00FB27EC">
            <w:pPr>
              <w:spacing w:before="60" w:afterLines="60" w:after="144" w:line="22" w:lineRule="atLeast"/>
              <w:jc w:val="right"/>
              <w:rPr>
                <w:rFonts w:cs="Arial"/>
                <w:color w:val="000000" w:themeColor="text1"/>
                <w:sz w:val="24"/>
                <w:szCs w:val="24"/>
              </w:rPr>
            </w:pPr>
          </w:p>
          <w:p w14:paraId="06306B26" w14:textId="77777777" w:rsidR="00A74A5A" w:rsidRPr="008A597A" w:rsidRDefault="00A74A5A" w:rsidP="00FB27EC">
            <w:pPr>
              <w:spacing w:before="60" w:afterLines="60" w:after="144" w:line="22" w:lineRule="atLeast"/>
              <w:jc w:val="right"/>
              <w:rPr>
                <w:rFonts w:cs="Arial"/>
                <w:color w:val="000000" w:themeColor="text1"/>
                <w:sz w:val="24"/>
                <w:szCs w:val="24"/>
              </w:rPr>
            </w:pPr>
            <w:r w:rsidRPr="008A597A">
              <w:rPr>
                <w:rFonts w:cs="Arial"/>
                <w:color w:val="000000" w:themeColor="text1"/>
                <w:sz w:val="24"/>
                <w:szCs w:val="24"/>
              </w:rPr>
              <w:t>0</w:t>
            </w:r>
          </w:p>
          <w:p w14:paraId="0A8B3D64" w14:textId="77777777" w:rsidR="00A74A5A" w:rsidRPr="008A597A" w:rsidRDefault="00A74A5A" w:rsidP="00FB27EC">
            <w:pPr>
              <w:spacing w:before="60" w:afterLines="60" w:after="144" w:line="22" w:lineRule="atLeast"/>
              <w:jc w:val="right"/>
              <w:rPr>
                <w:rFonts w:cs="Arial"/>
                <w:color w:val="000000" w:themeColor="text1"/>
                <w:sz w:val="24"/>
                <w:szCs w:val="24"/>
              </w:rPr>
            </w:pPr>
          </w:p>
          <w:p w14:paraId="1ABEDBBB" w14:textId="77777777" w:rsidR="00A74A5A" w:rsidRPr="008A597A" w:rsidRDefault="00A74A5A" w:rsidP="00FB27EC">
            <w:pPr>
              <w:spacing w:before="60" w:afterLines="60" w:after="144" w:line="22" w:lineRule="atLeast"/>
              <w:jc w:val="right"/>
              <w:rPr>
                <w:rFonts w:cs="Arial"/>
                <w:color w:val="000000" w:themeColor="text1"/>
                <w:sz w:val="24"/>
                <w:szCs w:val="24"/>
              </w:rPr>
            </w:pPr>
            <w:r w:rsidRPr="008A597A">
              <w:rPr>
                <w:rFonts w:cs="Arial"/>
                <w:color w:val="000000" w:themeColor="text1"/>
                <w:sz w:val="24"/>
                <w:szCs w:val="24"/>
              </w:rPr>
              <w:t>0</w:t>
            </w:r>
          </w:p>
          <w:p w14:paraId="27004377" w14:textId="77777777" w:rsidR="00A74A5A" w:rsidRDefault="00A74A5A" w:rsidP="00FB27EC">
            <w:pPr>
              <w:spacing w:before="60" w:afterLines="60" w:after="144" w:line="22" w:lineRule="atLeast"/>
              <w:jc w:val="right"/>
              <w:rPr>
                <w:rFonts w:cs="Arial"/>
                <w:b/>
                <w:bCs/>
                <w:color w:val="000000" w:themeColor="text1"/>
                <w:sz w:val="24"/>
                <w:szCs w:val="24"/>
              </w:rPr>
            </w:pPr>
            <w:r w:rsidRPr="008A597A">
              <w:rPr>
                <w:rFonts w:cs="Arial"/>
                <w:color w:val="000000" w:themeColor="text1"/>
                <w:sz w:val="24"/>
                <w:szCs w:val="24"/>
              </w:rPr>
              <w:t>0</w:t>
            </w:r>
          </w:p>
        </w:tc>
        <w:tc>
          <w:tcPr>
            <w:tcW w:w="1843" w:type="dxa"/>
          </w:tcPr>
          <w:p w14:paraId="5028FE5A" w14:textId="77777777" w:rsidR="00A74A5A" w:rsidRDefault="00A74A5A" w:rsidP="00FB27EC">
            <w:pPr>
              <w:spacing w:before="60" w:afterLines="60" w:after="144" w:line="22" w:lineRule="atLeast"/>
              <w:jc w:val="right"/>
              <w:rPr>
                <w:rFonts w:cs="Arial"/>
                <w:color w:val="000000" w:themeColor="text1"/>
                <w:sz w:val="24"/>
                <w:szCs w:val="24"/>
              </w:rPr>
            </w:pPr>
            <w:r w:rsidRPr="00410595">
              <w:rPr>
                <w:rFonts w:cs="Arial"/>
                <w:color w:val="000000" w:themeColor="text1"/>
                <w:sz w:val="24"/>
                <w:szCs w:val="24"/>
              </w:rPr>
              <w:t>0</w:t>
            </w:r>
          </w:p>
          <w:p w14:paraId="4FB29F88" w14:textId="77777777" w:rsidR="00A74A5A" w:rsidRDefault="00A74A5A" w:rsidP="00FB27EC">
            <w:pPr>
              <w:spacing w:before="60" w:afterLines="60" w:after="144" w:line="22" w:lineRule="atLeast"/>
              <w:jc w:val="right"/>
              <w:rPr>
                <w:rFonts w:cs="Arial"/>
                <w:color w:val="000000" w:themeColor="text1"/>
                <w:sz w:val="24"/>
                <w:szCs w:val="24"/>
              </w:rPr>
            </w:pPr>
          </w:p>
          <w:p w14:paraId="129F0045" w14:textId="75BECB29" w:rsidR="00A74A5A" w:rsidRPr="008A597A" w:rsidRDefault="00A74A5A"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0</w:t>
            </w:r>
          </w:p>
          <w:p w14:paraId="78DA2510" w14:textId="77777777" w:rsidR="00A74A5A" w:rsidRDefault="00A74A5A"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0</w:t>
            </w:r>
          </w:p>
          <w:p w14:paraId="63CCDA62" w14:textId="77777777" w:rsidR="00A74A5A" w:rsidRDefault="00A74A5A" w:rsidP="00FB27EC">
            <w:pPr>
              <w:spacing w:before="60" w:afterLines="60" w:after="144" w:line="22" w:lineRule="atLeast"/>
              <w:jc w:val="right"/>
              <w:rPr>
                <w:rFonts w:cs="Arial"/>
                <w:color w:val="000000" w:themeColor="text1"/>
                <w:sz w:val="24"/>
                <w:szCs w:val="24"/>
              </w:rPr>
            </w:pPr>
          </w:p>
          <w:p w14:paraId="44E2E04E" w14:textId="77777777" w:rsidR="00A74A5A" w:rsidRDefault="00A74A5A"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0</w:t>
            </w:r>
          </w:p>
          <w:p w14:paraId="4EC3F018" w14:textId="77777777" w:rsidR="00A74A5A" w:rsidRDefault="00A74A5A" w:rsidP="00FB27EC">
            <w:pPr>
              <w:spacing w:before="60" w:afterLines="60" w:after="144" w:line="22" w:lineRule="atLeast"/>
              <w:jc w:val="right"/>
              <w:rPr>
                <w:rFonts w:cs="Arial"/>
                <w:color w:val="000000" w:themeColor="text1"/>
                <w:sz w:val="24"/>
                <w:szCs w:val="24"/>
              </w:rPr>
            </w:pPr>
          </w:p>
          <w:p w14:paraId="4DDEA7CD" w14:textId="7BA1958B" w:rsidR="00A74A5A" w:rsidRDefault="00C865A3"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6</w:t>
            </w:r>
            <w:r w:rsidR="00A74A5A">
              <w:rPr>
                <w:rFonts w:cs="Arial"/>
                <w:color w:val="000000" w:themeColor="text1"/>
                <w:sz w:val="24"/>
                <w:szCs w:val="24"/>
              </w:rPr>
              <w:t> 000 000</w:t>
            </w:r>
          </w:p>
          <w:p w14:paraId="71D85091" w14:textId="77777777" w:rsidR="00A74A5A" w:rsidRPr="00410595" w:rsidRDefault="00A74A5A"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0</w:t>
            </w:r>
          </w:p>
        </w:tc>
      </w:tr>
      <w:tr w:rsidR="00A74A5A" w14:paraId="3DE8F33A" w14:textId="77777777" w:rsidTr="00FB27EC">
        <w:tc>
          <w:tcPr>
            <w:tcW w:w="4815" w:type="dxa"/>
          </w:tcPr>
          <w:p w14:paraId="61410EA9" w14:textId="77777777" w:rsidR="00A74A5A" w:rsidRDefault="00A74A5A" w:rsidP="00FB27EC">
            <w:pPr>
              <w:spacing w:before="60" w:afterLines="60" w:after="144" w:line="22" w:lineRule="atLeast"/>
              <w:jc w:val="center"/>
              <w:rPr>
                <w:rFonts w:cs="Arial"/>
                <w:b/>
                <w:bCs/>
                <w:color w:val="000000" w:themeColor="text1"/>
                <w:sz w:val="24"/>
                <w:szCs w:val="24"/>
              </w:rPr>
            </w:pPr>
            <w:r>
              <w:rPr>
                <w:rFonts w:cs="Arial"/>
                <w:b/>
                <w:bCs/>
                <w:color w:val="000000" w:themeColor="text1"/>
                <w:sz w:val="24"/>
                <w:szCs w:val="24"/>
              </w:rPr>
              <w:t>TOTAUX</w:t>
            </w:r>
          </w:p>
        </w:tc>
        <w:tc>
          <w:tcPr>
            <w:tcW w:w="1701" w:type="dxa"/>
            <w:tcBorders>
              <w:bottom w:val="single" w:sz="4" w:space="0" w:color="auto"/>
            </w:tcBorders>
          </w:tcPr>
          <w:p w14:paraId="17DC5226" w14:textId="7AEF76D8" w:rsidR="00A74A5A" w:rsidRPr="00410595" w:rsidRDefault="00496AD0"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6</w:t>
            </w:r>
            <w:r w:rsidR="00A74A5A" w:rsidRPr="008A597A">
              <w:rPr>
                <w:rFonts w:cs="Arial"/>
                <w:color w:val="000000" w:themeColor="text1"/>
                <w:sz w:val="24"/>
                <w:szCs w:val="24"/>
              </w:rPr>
              <w:t xml:space="preserve"> 000 000</w:t>
            </w:r>
          </w:p>
        </w:tc>
        <w:tc>
          <w:tcPr>
            <w:tcW w:w="1843" w:type="dxa"/>
            <w:tcBorders>
              <w:bottom w:val="single" w:sz="4" w:space="0" w:color="auto"/>
            </w:tcBorders>
          </w:tcPr>
          <w:p w14:paraId="7A482CBB" w14:textId="0F391582" w:rsidR="00A74A5A" w:rsidRPr="00410595" w:rsidRDefault="00496AD0" w:rsidP="00FB27EC">
            <w:pPr>
              <w:spacing w:before="60" w:afterLines="60" w:after="144" w:line="22" w:lineRule="atLeast"/>
              <w:jc w:val="right"/>
              <w:rPr>
                <w:rFonts w:cs="Arial"/>
                <w:color w:val="000000" w:themeColor="text1"/>
                <w:sz w:val="24"/>
                <w:szCs w:val="24"/>
              </w:rPr>
            </w:pPr>
            <w:r>
              <w:rPr>
                <w:rFonts w:cs="Arial"/>
                <w:color w:val="000000" w:themeColor="text1"/>
                <w:sz w:val="24"/>
                <w:szCs w:val="24"/>
              </w:rPr>
              <w:t>6</w:t>
            </w:r>
            <w:r w:rsidR="00A74A5A" w:rsidRPr="008A597A">
              <w:rPr>
                <w:rFonts w:cs="Arial"/>
                <w:color w:val="000000" w:themeColor="text1"/>
                <w:sz w:val="24"/>
                <w:szCs w:val="24"/>
              </w:rPr>
              <w:t xml:space="preserve"> 000 000</w:t>
            </w:r>
          </w:p>
        </w:tc>
      </w:tr>
      <w:tr w:rsidR="00A74A5A" w14:paraId="6243B7D7" w14:textId="77777777" w:rsidTr="00FB27EC">
        <w:tc>
          <w:tcPr>
            <w:tcW w:w="4815" w:type="dxa"/>
          </w:tcPr>
          <w:p w14:paraId="2CC7C420" w14:textId="77777777" w:rsidR="00A74A5A" w:rsidRDefault="00A74A5A" w:rsidP="00FB27EC">
            <w:pPr>
              <w:spacing w:before="60" w:afterLines="60" w:after="144" w:line="22" w:lineRule="atLeast"/>
              <w:jc w:val="center"/>
              <w:rPr>
                <w:rFonts w:cs="Arial"/>
                <w:b/>
                <w:bCs/>
                <w:color w:val="000000" w:themeColor="text1"/>
                <w:sz w:val="24"/>
                <w:szCs w:val="24"/>
              </w:rPr>
            </w:pPr>
            <w:r>
              <w:rPr>
                <w:rFonts w:cs="Arial"/>
                <w:b/>
                <w:bCs/>
                <w:color w:val="000000" w:themeColor="text1"/>
                <w:sz w:val="24"/>
                <w:szCs w:val="24"/>
              </w:rPr>
              <w:t>SOLDE</w:t>
            </w:r>
          </w:p>
        </w:tc>
        <w:tc>
          <w:tcPr>
            <w:tcW w:w="1701" w:type="dxa"/>
            <w:tcBorders>
              <w:right w:val="nil"/>
            </w:tcBorders>
          </w:tcPr>
          <w:p w14:paraId="06BBC11E" w14:textId="77777777" w:rsidR="00A74A5A" w:rsidRDefault="00A74A5A" w:rsidP="00FB27EC">
            <w:pPr>
              <w:spacing w:before="60" w:afterLines="60" w:after="144" w:line="22" w:lineRule="atLeast"/>
              <w:jc w:val="center"/>
              <w:rPr>
                <w:rFonts w:cs="Arial"/>
                <w:b/>
                <w:bCs/>
                <w:color w:val="000000" w:themeColor="text1"/>
                <w:sz w:val="24"/>
                <w:szCs w:val="24"/>
              </w:rPr>
            </w:pPr>
          </w:p>
        </w:tc>
        <w:tc>
          <w:tcPr>
            <w:tcW w:w="1843" w:type="dxa"/>
            <w:tcBorders>
              <w:left w:val="nil"/>
            </w:tcBorders>
          </w:tcPr>
          <w:p w14:paraId="6BEC45EE" w14:textId="77777777" w:rsidR="00A74A5A" w:rsidRPr="00410595" w:rsidRDefault="00A74A5A" w:rsidP="00FB27EC">
            <w:pPr>
              <w:spacing w:before="60" w:afterLines="60" w:after="144" w:line="22" w:lineRule="atLeast"/>
              <w:rPr>
                <w:rFonts w:cs="Arial"/>
                <w:color w:val="000000" w:themeColor="text1"/>
                <w:sz w:val="24"/>
                <w:szCs w:val="24"/>
              </w:rPr>
            </w:pPr>
            <w:r w:rsidRPr="00410595">
              <w:rPr>
                <w:rFonts w:cs="Arial"/>
                <w:color w:val="000000" w:themeColor="text1"/>
                <w:sz w:val="24"/>
                <w:szCs w:val="24"/>
              </w:rPr>
              <w:t>0</w:t>
            </w:r>
          </w:p>
        </w:tc>
      </w:tr>
    </w:tbl>
    <w:p w14:paraId="5AF0A106" w14:textId="77777777" w:rsidR="00A74A5A" w:rsidRDefault="00A74A5A" w:rsidP="00A74A5A">
      <w:pPr>
        <w:spacing w:before="60" w:afterLines="60" w:after="144" w:line="22" w:lineRule="atLeast"/>
        <w:jc w:val="center"/>
        <w:rPr>
          <w:rFonts w:cs="Arial"/>
          <w:b/>
          <w:bCs/>
          <w:color w:val="000000" w:themeColor="text1"/>
          <w:sz w:val="24"/>
          <w:szCs w:val="24"/>
        </w:rPr>
      </w:pPr>
    </w:p>
    <w:p w14:paraId="5C5E4EED" w14:textId="77777777" w:rsidR="00A74A5A" w:rsidRDefault="00A74A5A" w:rsidP="00A74A5A">
      <w:pPr>
        <w:spacing w:before="60" w:afterLines="60" w:after="144" w:line="22" w:lineRule="atLeast"/>
        <w:jc w:val="center"/>
        <w:rPr>
          <w:rFonts w:cs="Arial"/>
          <w:b/>
          <w:bCs/>
          <w:color w:val="000000" w:themeColor="text1"/>
          <w:sz w:val="24"/>
          <w:szCs w:val="24"/>
        </w:rPr>
      </w:pPr>
    </w:p>
    <w:p w14:paraId="2906BB95" w14:textId="77777777" w:rsidR="00A74A5A" w:rsidRDefault="00A74A5A" w:rsidP="00A74A5A">
      <w:pPr>
        <w:spacing w:before="60" w:afterLines="60" w:after="144" w:line="22" w:lineRule="atLeast"/>
        <w:jc w:val="center"/>
        <w:rPr>
          <w:rFonts w:cs="Arial"/>
          <w:b/>
          <w:bCs/>
          <w:color w:val="000000" w:themeColor="text1"/>
          <w:sz w:val="24"/>
          <w:szCs w:val="24"/>
        </w:rPr>
      </w:pPr>
    </w:p>
    <w:p w14:paraId="025702AC" w14:textId="77777777" w:rsidR="00A74A5A" w:rsidRDefault="00A74A5A" w:rsidP="00A74A5A">
      <w:pPr>
        <w:spacing w:before="60" w:afterLines="60" w:after="144" w:line="22" w:lineRule="atLeast"/>
        <w:jc w:val="center"/>
        <w:rPr>
          <w:rFonts w:cs="Arial"/>
          <w:b/>
          <w:bCs/>
          <w:color w:val="000000" w:themeColor="text1"/>
          <w:sz w:val="24"/>
          <w:szCs w:val="24"/>
        </w:rPr>
      </w:pPr>
    </w:p>
    <w:p w14:paraId="5F0E3528" w14:textId="77777777" w:rsidR="00A74A5A" w:rsidRDefault="00A74A5A" w:rsidP="00A74A5A">
      <w:pPr>
        <w:spacing w:before="60" w:afterLines="60" w:after="144" w:line="22" w:lineRule="atLeast"/>
        <w:jc w:val="center"/>
        <w:rPr>
          <w:rFonts w:cs="Arial"/>
          <w:b/>
          <w:bCs/>
          <w:color w:val="000000" w:themeColor="text1"/>
          <w:sz w:val="24"/>
          <w:szCs w:val="24"/>
        </w:rPr>
      </w:pPr>
    </w:p>
    <w:p w14:paraId="3F1A33F9" w14:textId="77777777" w:rsidR="00A74A5A" w:rsidRDefault="00A74A5A" w:rsidP="00A74A5A">
      <w:pPr>
        <w:spacing w:before="60" w:afterLines="60" w:after="144" w:line="22" w:lineRule="atLeast"/>
        <w:jc w:val="center"/>
        <w:rPr>
          <w:rFonts w:cs="Arial"/>
          <w:b/>
          <w:bCs/>
          <w:color w:val="000000" w:themeColor="text1"/>
          <w:sz w:val="24"/>
          <w:szCs w:val="24"/>
        </w:rPr>
      </w:pPr>
    </w:p>
    <w:p w14:paraId="6B48AC46" w14:textId="77777777" w:rsidR="00A74A5A" w:rsidRDefault="00A74A5A" w:rsidP="00A74A5A">
      <w:pPr>
        <w:spacing w:before="60" w:afterLines="60" w:after="144" w:line="22" w:lineRule="atLeast"/>
        <w:jc w:val="center"/>
        <w:rPr>
          <w:rFonts w:cs="Arial"/>
          <w:b/>
          <w:bCs/>
          <w:color w:val="000000" w:themeColor="text1"/>
          <w:sz w:val="24"/>
          <w:szCs w:val="24"/>
        </w:rPr>
      </w:pPr>
    </w:p>
    <w:p w14:paraId="5E05EAF2" w14:textId="77777777" w:rsidR="00A74A5A" w:rsidRDefault="00A74A5A" w:rsidP="00A74A5A">
      <w:pPr>
        <w:spacing w:before="60" w:afterLines="60" w:after="144" w:line="22" w:lineRule="atLeast"/>
        <w:rPr>
          <w:rFonts w:cs="Arial"/>
          <w:b/>
          <w:bCs/>
          <w:color w:val="000000" w:themeColor="text1"/>
          <w:sz w:val="24"/>
          <w:szCs w:val="24"/>
        </w:rPr>
      </w:pPr>
    </w:p>
    <w:p w14:paraId="241326F3" w14:textId="77777777" w:rsidR="00A74A5A" w:rsidRDefault="00A74A5A" w:rsidP="00A74A5A">
      <w:pPr>
        <w:spacing w:before="60" w:afterLines="60" w:after="144" w:line="22" w:lineRule="atLeast"/>
        <w:rPr>
          <w:rFonts w:cs="Arial"/>
          <w:b/>
          <w:bCs/>
          <w:color w:val="000000" w:themeColor="text1"/>
          <w:sz w:val="24"/>
          <w:szCs w:val="24"/>
        </w:rPr>
      </w:pPr>
    </w:p>
    <w:p w14:paraId="0DC9F460" w14:textId="77777777" w:rsidR="00A74A5A" w:rsidRDefault="00A74A5A" w:rsidP="00A74A5A">
      <w:pPr>
        <w:spacing w:before="60" w:afterLines="60" w:after="144" w:line="22" w:lineRule="atLeast"/>
        <w:rPr>
          <w:rFonts w:cs="Arial"/>
          <w:b/>
          <w:bCs/>
          <w:color w:val="000000" w:themeColor="text1"/>
          <w:sz w:val="24"/>
          <w:szCs w:val="24"/>
        </w:rPr>
      </w:pPr>
    </w:p>
    <w:p w14:paraId="17B0ADEA" w14:textId="77777777" w:rsidR="00A74A5A" w:rsidRDefault="00A74A5A" w:rsidP="00A74A5A">
      <w:pPr>
        <w:spacing w:before="60" w:afterLines="60" w:after="144" w:line="22" w:lineRule="atLeast"/>
        <w:rPr>
          <w:rFonts w:cs="Arial"/>
          <w:b/>
          <w:bCs/>
          <w:color w:val="000000" w:themeColor="text1"/>
          <w:sz w:val="24"/>
          <w:szCs w:val="24"/>
        </w:rPr>
      </w:pPr>
    </w:p>
    <w:p w14:paraId="700CB5D5" w14:textId="77777777" w:rsidR="00A74A5A" w:rsidRDefault="00A74A5A" w:rsidP="00A74A5A">
      <w:pPr>
        <w:spacing w:before="60" w:afterLines="60" w:after="144" w:line="22" w:lineRule="atLeast"/>
        <w:jc w:val="center"/>
        <w:rPr>
          <w:rFonts w:cs="Arial"/>
          <w:b/>
          <w:bCs/>
          <w:color w:val="000000" w:themeColor="text1"/>
          <w:sz w:val="24"/>
          <w:szCs w:val="24"/>
        </w:rPr>
      </w:pPr>
    </w:p>
    <w:p w14:paraId="1C914232" w14:textId="77777777" w:rsidR="00A74A5A" w:rsidRDefault="00A74A5A" w:rsidP="00C70C84">
      <w:pPr>
        <w:pStyle w:val="Corpsdetexte"/>
        <w:jc w:val="center"/>
        <w:rPr>
          <w:rFonts w:ascii="Arial" w:hAnsi="Arial" w:cs="Arial"/>
          <w:sz w:val="22"/>
        </w:rPr>
      </w:pPr>
    </w:p>
    <w:p w14:paraId="3E313571" w14:textId="77777777" w:rsidR="00A74A5A" w:rsidRDefault="00A74A5A" w:rsidP="00C70C84">
      <w:pPr>
        <w:jc w:val="center"/>
        <w:rPr>
          <w:rFonts w:ascii="Arial" w:eastAsia="Arial" w:hAnsi="Arial" w:cs="Arial"/>
          <w:b/>
          <w:bCs/>
          <w:color w:val="000000" w:themeColor="text1"/>
          <w:sz w:val="24"/>
          <w:szCs w:val="24"/>
        </w:rPr>
      </w:pPr>
    </w:p>
    <w:p w14:paraId="1B49746D" w14:textId="1DFE41DB" w:rsidR="00C70C84" w:rsidRPr="00700BEC" w:rsidRDefault="00C70C84" w:rsidP="00C70C84">
      <w:pPr>
        <w:jc w:val="center"/>
        <w:rPr>
          <w:rFonts w:ascii="Arial" w:eastAsia="Arial" w:hAnsi="Arial" w:cs="Arial"/>
          <w:b/>
          <w:bCs/>
          <w:color w:val="000000" w:themeColor="text1"/>
          <w:sz w:val="24"/>
          <w:szCs w:val="24"/>
        </w:rPr>
      </w:pPr>
      <w:r w:rsidRPr="00700BEC">
        <w:rPr>
          <w:rFonts w:ascii="Arial" w:eastAsia="Arial" w:hAnsi="Arial" w:cs="Arial"/>
          <w:b/>
          <w:bCs/>
          <w:color w:val="000000" w:themeColor="text1"/>
          <w:sz w:val="24"/>
          <w:szCs w:val="24"/>
        </w:rPr>
        <w:t>EXPOSÉ SOMMAIRE</w:t>
      </w:r>
    </w:p>
    <w:p w14:paraId="1D67DB99" w14:textId="1DD9A321" w:rsidR="00115E35" w:rsidRPr="00115E35" w:rsidRDefault="00115E35" w:rsidP="00115E35">
      <w:r w:rsidRPr="00115E35">
        <w:t xml:space="preserve">Le volet 2 du plan Logement d’Abord prévoit des objectifs ambitieux de production de 25 000 résidences sociales généralistes et foyers de jeunes travailleurs. Afin d’améliorer le financement de la gestion locative sociale, qui permet aux gestionnaires d’animer la vie collective, de prévenir les impayés, de lutter contre l’isolement des personnes logées et d’organiser la médiation vers les partenaires extérieurs, une réforme a été mise en œuvre </w:t>
      </w:r>
      <w:r>
        <w:t xml:space="preserve">en 2025 </w:t>
      </w:r>
      <w:r w:rsidRPr="00115E35">
        <w:t xml:space="preserve">par l’Etat après plusieurs mois d’échanges entre la </w:t>
      </w:r>
      <w:proofErr w:type="spellStart"/>
      <w:r w:rsidRPr="00115E35">
        <w:t>Dihal</w:t>
      </w:r>
      <w:proofErr w:type="spellEnd"/>
      <w:r w:rsidRPr="00115E35">
        <w:t xml:space="preserve"> et les unions concernées, Unafo et Unhaj.  Cette réforme remet à plat les critères de calcul, en garantissant notamment que chaque résidence sociale puisse bénéficier de cette subvention, contrairement à la situation antérieure.  </w:t>
      </w:r>
    </w:p>
    <w:p w14:paraId="504DAF1D" w14:textId="77777777" w:rsidR="00A86A8E" w:rsidRDefault="00115E35" w:rsidP="00115E35">
      <w:r w:rsidRPr="00115E35">
        <w:lastRenderedPageBreak/>
        <w:t>Il apparaît que l’enveloppe prévue en 2025 est inférieure aux besoins</w:t>
      </w:r>
      <w:r w:rsidR="00BC0CC4">
        <w:t xml:space="preserve"> puisqu’un dépassement de l’ordre de 10% de l’enveloppe initialement budgétée est constaté</w:t>
      </w:r>
      <w:r w:rsidR="00A86A8E">
        <w:t>, soit 5 millions d’euros</w:t>
      </w:r>
      <w:r w:rsidRPr="00115E35">
        <w:t xml:space="preserve">. </w:t>
      </w:r>
    </w:p>
    <w:p w14:paraId="264F1836" w14:textId="77777777" w:rsidR="00A86A8E" w:rsidRDefault="00115E35" w:rsidP="00115E35">
      <w:r>
        <w:t>Dans la loi de finances pour 2025, l’enveloppe de l’AGLS était de 46</w:t>
      </w:r>
      <w:r w:rsidR="00A86A8E">
        <w:t>,2</w:t>
      </w:r>
      <w:r>
        <w:t xml:space="preserve"> millions d’euros, intégrant la compensation du Ségur pour des salariés des résidences sociales généralistes, résidences sociales jeunes actifs et foyers de jeunes travailleurs et une enveloppe complémentaire de 5 millions d’euros dans le cadre de cette réforme. </w:t>
      </w:r>
    </w:p>
    <w:p w14:paraId="2B2480B4" w14:textId="77777777" w:rsidR="00A86A8E" w:rsidRDefault="00A86A8E" w:rsidP="00115E35">
      <w:r>
        <w:t>Pour 2026, le projet de loi de finances prévoit une enveloppe en très légère augmentation à 47.1 millions d’euros.</w:t>
      </w:r>
    </w:p>
    <w:p w14:paraId="73594FC7" w14:textId="670B917B" w:rsidR="00115E35" w:rsidRDefault="00A86A8E" w:rsidP="00115E35">
      <w:r>
        <w:t xml:space="preserve">Afin de tenir compte en 2026 pleinement de </w:t>
      </w:r>
      <w:r w:rsidR="00BC0CC4">
        <w:t>l’impact de la réforme</w:t>
      </w:r>
      <w:r>
        <w:t xml:space="preserve"> sans remettre en cause les principes et barèmes et donc </w:t>
      </w:r>
      <w:r w:rsidR="00BC0CC4">
        <w:t>de garantir le financement pour tous les gestionnaires de résidences sociales de cette aide</w:t>
      </w:r>
      <w:r>
        <w:t xml:space="preserve">, il est nécessaire de relever </w:t>
      </w:r>
      <w:r w:rsidR="00C865A3">
        <w:t>l’</w:t>
      </w:r>
      <w:r>
        <w:t xml:space="preserve">enveloppe </w:t>
      </w:r>
      <w:r w:rsidR="00C865A3">
        <w:t xml:space="preserve">votée en 2026 de </w:t>
      </w:r>
      <w:r>
        <w:t>7 millions d’euros : soit 5 millions pour supplémentaire pour appliquer la réforme, 1 million pour tenir compte de l’ouverture de nouvelles résidences sociales en 2026 (le coût pour le 1</w:t>
      </w:r>
      <w:r w:rsidRPr="00A86A8E">
        <w:rPr>
          <w:vertAlign w:val="superscript"/>
        </w:rPr>
        <w:t>er</w:t>
      </w:r>
      <w:r>
        <w:t xml:space="preserve"> semestre 2026 est estimé à 517 k€) et 1 million pour donner la possibilité de compenser les perdants de la réforme.  </w:t>
      </w:r>
    </w:p>
    <w:p w14:paraId="6D9B6D85" w14:textId="7F8FCAC4" w:rsidR="00115E35" w:rsidRDefault="00C865A3" w:rsidP="00115E35">
      <w:r>
        <w:t xml:space="preserve">Le projet de loi de finances prévoyant une augmentation de près d’1 million d’euro, il est nécessaire de voter une enveloppe supplémentaire de 6 millions d’euros </w:t>
      </w:r>
      <w:r w:rsidR="00C70C84">
        <w:t>afin de couvrir les besoins de la réforme amorcée en 2025,</w:t>
      </w:r>
      <w:r w:rsidR="00115E35" w:rsidRPr="00115E35">
        <w:t xml:space="preserve"> permettre l’octroi de l’AGLS aux nouvelles résidences sociales ouvertes en 2026 et accompagner les gestionnaires perdants de la réforme.  </w:t>
      </w:r>
    </w:p>
    <w:p w14:paraId="53E2A76D" w14:textId="77777777" w:rsidR="00496AD0" w:rsidRDefault="00496AD0" w:rsidP="00115E35"/>
    <w:p w14:paraId="6791C524" w14:textId="006F9639" w:rsidR="00496AD0" w:rsidRDefault="00496AD0" w:rsidP="00115E35">
      <w:r w:rsidRPr="00496AD0">
        <w:t xml:space="preserve">Les auteurs de cet amendement n’ont aucune intention de diminuer les crédits </w:t>
      </w:r>
      <w:proofErr w:type="spellStart"/>
      <w:r w:rsidRPr="00496AD0">
        <w:t>de</w:t>
      </w:r>
      <w:r>
        <w:t>s</w:t>
      </w:r>
      <w:proofErr w:type="spellEnd"/>
      <w:r>
        <w:t xml:space="preserve"> interventions territoriales de l’Etat qui sont </w:t>
      </w:r>
      <w:r w:rsidRPr="00496AD0">
        <w:t>essentielle</w:t>
      </w:r>
      <w:r>
        <w:t>s</w:t>
      </w:r>
      <w:r w:rsidRPr="00496AD0">
        <w:t xml:space="preserve">, </w:t>
      </w:r>
      <w:r>
        <w:t xml:space="preserve">mais </w:t>
      </w:r>
      <w:r w:rsidRPr="00496AD0">
        <w:t>ce gage vise uniquement à respecter les règles de l’article 40 de la Constitution</w:t>
      </w:r>
    </w:p>
    <w:p w14:paraId="228DAE7F" w14:textId="77777777" w:rsidR="00496AD0" w:rsidRDefault="00496AD0" w:rsidP="00115E35"/>
    <w:p w14:paraId="0005FE42" w14:textId="44424ADA" w:rsidR="00C70C84" w:rsidRPr="006805E2" w:rsidRDefault="00496AD0" w:rsidP="00C70C84">
      <w:pPr>
        <w:pBdr>
          <w:top w:val="single" w:sz="4" w:space="1" w:color="auto"/>
          <w:left w:val="single" w:sz="4" w:space="4" w:color="auto"/>
          <w:bottom w:val="single" w:sz="4" w:space="1" w:color="auto"/>
          <w:right w:val="single" w:sz="4" w:space="4" w:color="auto"/>
        </w:pBdr>
        <w:shd w:val="clear" w:color="auto" w:fill="D9F2D0" w:themeFill="accent6" w:themeFillTint="33"/>
        <w:rPr>
          <w:rFonts w:ascii="Arial" w:eastAsiaTheme="minorEastAsia" w:hAnsi="Arial" w:cs="Arial"/>
          <w:b/>
          <w:bCs/>
        </w:rPr>
      </w:pPr>
      <w:r>
        <w:rPr>
          <w:rFonts w:ascii="Arial" w:eastAsiaTheme="minorEastAsia" w:hAnsi="Arial" w:cs="Arial"/>
          <w:b/>
          <w:bCs/>
        </w:rPr>
        <w:t xml:space="preserve">En savoir plus </w:t>
      </w:r>
    </w:p>
    <w:p w14:paraId="4BD56E4A" w14:textId="078320F7" w:rsidR="00C70C84" w:rsidRDefault="00C70C84" w:rsidP="00C70C84">
      <w:pPr>
        <w:pBdr>
          <w:top w:val="single" w:sz="4" w:space="1" w:color="auto"/>
          <w:left w:val="single" w:sz="4" w:space="4" w:color="auto"/>
          <w:bottom w:val="single" w:sz="4" w:space="1" w:color="auto"/>
          <w:right w:val="single" w:sz="4" w:space="4" w:color="auto"/>
        </w:pBdr>
        <w:shd w:val="clear" w:color="auto" w:fill="D9F2D0" w:themeFill="accent6" w:themeFillTint="33"/>
      </w:pPr>
      <w:r>
        <w:t>Le dossier de presse du volet 2 du plan Logement d’Abord qui prévoit qu</w:t>
      </w:r>
      <w:proofErr w:type="gramStart"/>
      <w:r>
        <w:t>’«</w:t>
      </w:r>
      <w:proofErr w:type="gramEnd"/>
      <w:r>
        <w:t xml:space="preserve"> en revalorisant l’Aide à la Gestion locative Sociale (AGLS) pour mieux accompagner les personnes logées tout en simplifiant les modalités d'octroi de l'aide : </w:t>
      </w:r>
      <w:hyperlink r:id="rId5" w:history="1">
        <w:r w:rsidRPr="001F19D9">
          <w:rPr>
            <w:rStyle w:val="Lienhypertexte"/>
          </w:rPr>
          <w:t>https://www.ecologie.gouv.fr/sites/default/files/documents/20.06.2023_DP_Logement_dabord2.pdf</w:t>
        </w:r>
      </w:hyperlink>
    </w:p>
    <w:p w14:paraId="3476D74B" w14:textId="51C64B69" w:rsidR="00C70C84" w:rsidRDefault="00C70C84" w:rsidP="00C70C84">
      <w:pPr>
        <w:pBdr>
          <w:top w:val="single" w:sz="4" w:space="1" w:color="auto"/>
          <w:left w:val="single" w:sz="4" w:space="4" w:color="auto"/>
          <w:bottom w:val="single" w:sz="4" w:space="1" w:color="auto"/>
          <w:right w:val="single" w:sz="4" w:space="4" w:color="auto"/>
        </w:pBdr>
        <w:shd w:val="clear" w:color="auto" w:fill="D9F2D0" w:themeFill="accent6" w:themeFillTint="33"/>
      </w:pPr>
      <w:r>
        <w:t xml:space="preserve">L’annonce de la réforme de l’AGLS par Valérie Letard, ministre du logement : </w:t>
      </w:r>
      <w:hyperlink r:id="rId6" w:history="1">
        <w:r w:rsidRPr="001F19D9">
          <w:rPr>
            <w:rStyle w:val="Lienhypertexte"/>
          </w:rPr>
          <w:t>https://www.ecologie.gouv.fr/presse/soutien-logement-personnes-plus-demunis-valerie-letard-mobilise-moyens-inedits</w:t>
        </w:r>
      </w:hyperlink>
    </w:p>
    <w:p w14:paraId="735D4647" w14:textId="1F9B3FBD" w:rsidR="00C70C84" w:rsidRDefault="00C70C84" w:rsidP="00496AD0">
      <w:pPr>
        <w:pBdr>
          <w:top w:val="single" w:sz="4" w:space="1" w:color="auto"/>
          <w:left w:val="single" w:sz="4" w:space="4" w:color="auto"/>
          <w:bottom w:val="single" w:sz="4" w:space="1" w:color="auto"/>
          <w:right w:val="single" w:sz="4" w:space="4" w:color="auto"/>
        </w:pBdr>
        <w:shd w:val="clear" w:color="auto" w:fill="D9F2D0" w:themeFill="accent6" w:themeFillTint="33"/>
      </w:pPr>
      <w:r>
        <w:t xml:space="preserve">L’impact de la gestion locative sociale : </w:t>
      </w:r>
      <w:hyperlink r:id="rId7" w:history="1">
        <w:r w:rsidRPr="001F19D9">
          <w:rPr>
            <w:rStyle w:val="Lienhypertexte"/>
          </w:rPr>
          <w:t>https://www.unafo.org/gestion-locative-sociale-des-couts-evites-largement-superieur-a-linvestissement-public/</w:t>
        </w:r>
      </w:hyperlink>
    </w:p>
    <w:sectPr w:rsidR="00C70C84" w:rsidSect="00496A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7301"/>
    <w:multiLevelType w:val="hybridMultilevel"/>
    <w:tmpl w:val="A42E23D8"/>
    <w:lvl w:ilvl="0" w:tplc="8642263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637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5"/>
    <w:rsid w:val="000052CD"/>
    <w:rsid w:val="00115E35"/>
    <w:rsid w:val="003941EA"/>
    <w:rsid w:val="00415DF0"/>
    <w:rsid w:val="00496AD0"/>
    <w:rsid w:val="00651958"/>
    <w:rsid w:val="00844444"/>
    <w:rsid w:val="00A37100"/>
    <w:rsid w:val="00A74A5A"/>
    <w:rsid w:val="00A86A8E"/>
    <w:rsid w:val="00BC0CC4"/>
    <w:rsid w:val="00BD02B6"/>
    <w:rsid w:val="00C70C84"/>
    <w:rsid w:val="00C86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8DE0"/>
  <w15:chartTrackingRefBased/>
  <w15:docId w15:val="{71FEE25E-EECE-4CCA-8C28-3C489452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5E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5E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5E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5E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5E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5E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5E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5E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5E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5E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5E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5E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5E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5E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5E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5E35"/>
    <w:rPr>
      <w:rFonts w:eastAsiaTheme="majorEastAsia" w:cstheme="majorBidi"/>
      <w:color w:val="272727" w:themeColor="text1" w:themeTint="D8"/>
    </w:rPr>
  </w:style>
  <w:style w:type="paragraph" w:styleId="Titre">
    <w:name w:val="Title"/>
    <w:basedOn w:val="Normal"/>
    <w:next w:val="Normal"/>
    <w:link w:val="TitreCar"/>
    <w:uiPriority w:val="10"/>
    <w:qFormat/>
    <w:rsid w:val="00115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E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5E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5E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5E35"/>
    <w:pPr>
      <w:spacing w:before="160"/>
      <w:jc w:val="center"/>
    </w:pPr>
    <w:rPr>
      <w:i/>
      <w:iCs/>
      <w:color w:val="404040" w:themeColor="text1" w:themeTint="BF"/>
    </w:rPr>
  </w:style>
  <w:style w:type="character" w:customStyle="1" w:styleId="CitationCar">
    <w:name w:val="Citation Car"/>
    <w:basedOn w:val="Policepardfaut"/>
    <w:link w:val="Citation"/>
    <w:uiPriority w:val="29"/>
    <w:rsid w:val="00115E35"/>
    <w:rPr>
      <w:i/>
      <w:iCs/>
      <w:color w:val="404040" w:themeColor="text1" w:themeTint="BF"/>
    </w:rPr>
  </w:style>
  <w:style w:type="paragraph" w:styleId="Paragraphedeliste">
    <w:name w:val="List Paragraph"/>
    <w:basedOn w:val="Normal"/>
    <w:uiPriority w:val="34"/>
    <w:qFormat/>
    <w:rsid w:val="00115E35"/>
    <w:pPr>
      <w:ind w:left="720"/>
      <w:contextualSpacing/>
    </w:pPr>
  </w:style>
  <w:style w:type="character" w:styleId="Accentuationintense">
    <w:name w:val="Intense Emphasis"/>
    <w:basedOn w:val="Policepardfaut"/>
    <w:uiPriority w:val="21"/>
    <w:qFormat/>
    <w:rsid w:val="00115E35"/>
    <w:rPr>
      <w:i/>
      <w:iCs/>
      <w:color w:val="0F4761" w:themeColor="accent1" w:themeShade="BF"/>
    </w:rPr>
  </w:style>
  <w:style w:type="paragraph" w:styleId="Citationintense">
    <w:name w:val="Intense Quote"/>
    <w:basedOn w:val="Normal"/>
    <w:next w:val="Normal"/>
    <w:link w:val="CitationintenseCar"/>
    <w:uiPriority w:val="30"/>
    <w:qFormat/>
    <w:rsid w:val="0011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5E35"/>
    <w:rPr>
      <w:i/>
      <w:iCs/>
      <w:color w:val="0F4761" w:themeColor="accent1" w:themeShade="BF"/>
    </w:rPr>
  </w:style>
  <w:style w:type="character" w:styleId="Rfrenceintense">
    <w:name w:val="Intense Reference"/>
    <w:basedOn w:val="Policepardfaut"/>
    <w:uiPriority w:val="32"/>
    <w:qFormat/>
    <w:rsid w:val="00115E35"/>
    <w:rPr>
      <w:b/>
      <w:bCs/>
      <w:smallCaps/>
      <w:color w:val="0F4761" w:themeColor="accent1" w:themeShade="BF"/>
      <w:spacing w:val="5"/>
    </w:rPr>
  </w:style>
  <w:style w:type="character" w:styleId="Lienhypertexte">
    <w:name w:val="Hyperlink"/>
    <w:basedOn w:val="Policepardfaut"/>
    <w:uiPriority w:val="99"/>
    <w:unhideWhenUsed/>
    <w:rsid w:val="00C70C84"/>
    <w:rPr>
      <w:color w:val="467886" w:themeColor="hyperlink"/>
      <w:u w:val="single"/>
    </w:rPr>
  </w:style>
  <w:style w:type="character" w:styleId="Mentionnonrsolue">
    <w:name w:val="Unresolved Mention"/>
    <w:basedOn w:val="Policepardfaut"/>
    <w:uiPriority w:val="99"/>
    <w:semiHidden/>
    <w:unhideWhenUsed/>
    <w:rsid w:val="00C70C84"/>
    <w:rPr>
      <w:color w:val="605E5C"/>
      <w:shd w:val="clear" w:color="auto" w:fill="E1DFDD"/>
    </w:rPr>
  </w:style>
  <w:style w:type="paragraph" w:styleId="Corpsdetexte">
    <w:name w:val="Body Text"/>
    <w:basedOn w:val="Normal"/>
    <w:link w:val="CorpsdetexteCar"/>
    <w:uiPriority w:val="1"/>
    <w:qFormat/>
    <w:rsid w:val="00C70C8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C70C84"/>
    <w:rPr>
      <w:rFonts w:ascii="Times New Roman" w:eastAsia="Times New Roman" w:hAnsi="Times New Roman" w:cs="Times New Roman"/>
      <w:kern w:val="0"/>
      <w:sz w:val="24"/>
      <w:szCs w:val="24"/>
      <w14:ligatures w14:val="none"/>
    </w:rPr>
  </w:style>
  <w:style w:type="table" w:styleId="Grilledutableau">
    <w:name w:val="Table Grid"/>
    <w:basedOn w:val="TableauNormal"/>
    <w:uiPriority w:val="39"/>
    <w:rsid w:val="00C70C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afo.org/gestion-locative-sociale-des-couts-evites-largement-superieur-a-linvestissement-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logie.gouv.fr/presse/soutien-logement-personnes-plus-demunis-valerie-letard-mobilise-moyens-inedits" TargetMode="External"/><Relationship Id="rId5" Type="http://schemas.openxmlformats.org/officeDocument/2006/relationships/hyperlink" Target="https://www.ecologie.gouv.fr/sites/default/files/documents/20.06.2023_DP_Logement_dabord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3671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BROCA</dc:creator>
  <cp:keywords/>
  <dc:description/>
  <cp:lastModifiedBy>Arnaud de BROCA</cp:lastModifiedBy>
  <cp:revision>2</cp:revision>
  <dcterms:created xsi:type="dcterms:W3CDTF">2025-10-15T11:10:00Z</dcterms:created>
  <dcterms:modified xsi:type="dcterms:W3CDTF">2025-10-15T11:10:00Z</dcterms:modified>
</cp:coreProperties>
</file>